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EBCBAF" w14:textId="767D3825" w:rsidR="0001557F" w:rsidRDefault="0001557F" w:rsidP="0001557F">
      <w:pPr>
        <w:pStyle w:val="TableTitle"/>
      </w:pPr>
      <w:r>
        <w:t>Summary of Consultation Feedback from Statutory Consultees</w:t>
      </w:r>
    </w:p>
    <w:tbl>
      <w:tblPr>
        <w:tblW w:w="13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113" w:type="dxa"/>
        </w:tblCellMar>
        <w:tblLook w:val="0000" w:firstRow="0" w:lastRow="0" w:firstColumn="0" w:lastColumn="0" w:noHBand="0" w:noVBand="0"/>
        <w:tblCaption w:val="LUCTable"/>
        <w:tblDescription w:val="Standard|Even|1HeadingRows|Plain|NoTotal|NormalFont"/>
      </w:tblPr>
      <w:tblGrid>
        <w:gridCol w:w="2122"/>
        <w:gridCol w:w="5811"/>
        <w:gridCol w:w="5933"/>
      </w:tblGrid>
      <w:tr w:rsidR="0001557F" w14:paraId="1001F6E3" w14:textId="77777777" w:rsidTr="0001557F">
        <w:trPr>
          <w:tblHeader/>
        </w:trPr>
        <w:tc>
          <w:tcPr>
            <w:tcW w:w="2122" w:type="dxa"/>
            <w:shd w:val="clear" w:color="auto" w:fill="6EB02D"/>
          </w:tcPr>
          <w:p w14:paraId="593ACAB8" w14:textId="2CD83E66" w:rsidR="0001557F" w:rsidRDefault="0001557F" w:rsidP="0001557F">
            <w:pPr>
              <w:pStyle w:val="TableHeading"/>
            </w:pPr>
            <w:r>
              <w:t>Consultee</w:t>
            </w:r>
          </w:p>
        </w:tc>
        <w:tc>
          <w:tcPr>
            <w:tcW w:w="5811" w:type="dxa"/>
            <w:shd w:val="clear" w:color="auto" w:fill="6EB02D"/>
          </w:tcPr>
          <w:p w14:paraId="3F7FED1B" w14:textId="6A835BD9" w:rsidR="0001557F" w:rsidRDefault="0001557F" w:rsidP="0001557F">
            <w:pPr>
              <w:pStyle w:val="TableHeading"/>
            </w:pPr>
            <w:r>
              <w:t>Summary of Feedback</w:t>
            </w:r>
          </w:p>
        </w:tc>
        <w:tc>
          <w:tcPr>
            <w:tcW w:w="5933" w:type="dxa"/>
            <w:shd w:val="clear" w:color="auto" w:fill="6EB02D"/>
          </w:tcPr>
          <w:p w14:paraId="29B7ECBE" w14:textId="0D35C19F" w:rsidR="0001557F" w:rsidRDefault="008F53E0" w:rsidP="0001557F">
            <w:pPr>
              <w:pStyle w:val="TableHeading"/>
            </w:pPr>
            <w:r>
              <w:t xml:space="preserve">SPEN </w:t>
            </w:r>
            <w:r w:rsidR="0001557F">
              <w:t>Response / Comments</w:t>
            </w:r>
          </w:p>
        </w:tc>
      </w:tr>
      <w:tr w:rsidR="00F86A68" w14:paraId="57AD0420" w14:textId="77777777" w:rsidTr="0001557F">
        <w:tc>
          <w:tcPr>
            <w:tcW w:w="2122" w:type="dxa"/>
            <w:shd w:val="clear" w:color="auto" w:fill="FFFFFF"/>
          </w:tcPr>
          <w:p w14:paraId="43632637" w14:textId="6820C226" w:rsidR="00F86A68" w:rsidRDefault="00F86A68" w:rsidP="0001557F">
            <w:pPr>
              <w:pStyle w:val="TableText"/>
            </w:pPr>
            <w:r>
              <w:t>HES</w:t>
            </w:r>
          </w:p>
        </w:tc>
        <w:tc>
          <w:tcPr>
            <w:tcW w:w="5811" w:type="dxa"/>
            <w:shd w:val="clear" w:color="auto" w:fill="FFFFFF"/>
          </w:tcPr>
          <w:p w14:paraId="0AFF2CF2" w14:textId="77777777" w:rsidR="004D3DB2" w:rsidRDefault="004D3DB2" w:rsidP="0001557F">
            <w:pPr>
              <w:pStyle w:val="TableText"/>
            </w:pPr>
            <w:r>
              <w:t>Response received on 13/12/21</w:t>
            </w:r>
          </w:p>
          <w:p w14:paraId="22251908" w14:textId="2FA0AB2B" w:rsidR="004D3DB2" w:rsidRDefault="003E2FC6" w:rsidP="0001557F">
            <w:pPr>
              <w:pStyle w:val="TableText"/>
            </w:pPr>
            <w:r>
              <w:t xml:space="preserve">Advised </w:t>
            </w:r>
            <w:r w:rsidR="006A6CC8">
              <w:t xml:space="preserve">that advice should also be </w:t>
            </w:r>
            <w:r w:rsidR="0021307C">
              <w:t>sought from Dumfries and Galloway Counci</w:t>
            </w:r>
            <w:r w:rsidR="007344EE">
              <w:t>l (DGC)</w:t>
            </w:r>
            <w:r w:rsidR="0021307C">
              <w:t>'s archaeology</w:t>
            </w:r>
            <w:r w:rsidR="00F345B0">
              <w:t xml:space="preserve"> and conservation advice service </w:t>
            </w:r>
            <w:r w:rsidR="004B1821">
              <w:t xml:space="preserve">on matters not covered by </w:t>
            </w:r>
            <w:r w:rsidR="003148A3">
              <w:t xml:space="preserve">HES' </w:t>
            </w:r>
            <w:r w:rsidR="003601EA">
              <w:t>interests</w:t>
            </w:r>
            <w:r w:rsidR="00B11CE6">
              <w:t xml:space="preserve">. These include </w:t>
            </w:r>
            <w:r w:rsidR="00567B06">
              <w:t xml:space="preserve">conservation areas, unscheduled archaeology and category B and C-listed buildings. </w:t>
            </w:r>
          </w:p>
          <w:p w14:paraId="3A6E4F5B" w14:textId="2D3F516F" w:rsidR="00567B06" w:rsidRDefault="00C0289D" w:rsidP="0001557F">
            <w:pPr>
              <w:pStyle w:val="TableText"/>
            </w:pPr>
            <w:r>
              <w:t>HES n</w:t>
            </w:r>
            <w:r w:rsidR="00B410F4">
              <w:t xml:space="preserve">oted there may be some potential for impacts on </w:t>
            </w:r>
            <w:r w:rsidR="00E620CC">
              <w:t>the Poldean, Standing Stone 110m SSW of (SM12697</w:t>
            </w:r>
            <w:r w:rsidR="00D94654">
              <w:t>) located inside the study area boundary</w:t>
            </w:r>
            <w:r w:rsidR="00B5001B">
              <w:t xml:space="preserve">, the Milton Roman Fort (SM676) and Catherine's Hill, </w:t>
            </w:r>
            <w:r w:rsidR="002D7381">
              <w:t>settlement 620m</w:t>
            </w:r>
            <w:r w:rsidR="00D3295C">
              <w:t xml:space="preserve"> N of Nether Murthat (SM12736), located just outside the study area boundary. </w:t>
            </w:r>
          </w:p>
          <w:p w14:paraId="535F368C" w14:textId="6718D83A" w:rsidR="00D3295C" w:rsidRDefault="00432865" w:rsidP="0001557F">
            <w:pPr>
              <w:pStyle w:val="TableText"/>
            </w:pPr>
            <w:r>
              <w:t xml:space="preserve">Confirmed they are satisfied that appropriate consideration has been given to the </w:t>
            </w:r>
            <w:r w:rsidR="00E7765F">
              <w:t xml:space="preserve">scheduled monuments and their </w:t>
            </w:r>
            <w:r w:rsidR="002A4CC7">
              <w:t>settings</w:t>
            </w:r>
            <w:r w:rsidR="00E7765F">
              <w:t xml:space="preserve"> in the identification of route options for the proposals. </w:t>
            </w:r>
          </w:p>
          <w:p w14:paraId="4DBDDE07" w14:textId="7C073C5F" w:rsidR="00476032" w:rsidRDefault="00476032" w:rsidP="0001557F">
            <w:pPr>
              <w:pStyle w:val="TableText"/>
            </w:pPr>
            <w:r>
              <w:t xml:space="preserve">HES </w:t>
            </w:r>
            <w:r w:rsidR="004D6BF1">
              <w:t>agree</w:t>
            </w:r>
            <w:r w:rsidR="00570FA2">
              <w:t>d</w:t>
            </w:r>
            <w:r w:rsidR="00A40FD1">
              <w:t xml:space="preserve"> that </w:t>
            </w:r>
            <w:r>
              <w:t xml:space="preserve">Route Option 3 </w:t>
            </w:r>
            <w:r w:rsidR="00A40FD1">
              <w:t xml:space="preserve">is </w:t>
            </w:r>
            <w:r>
              <w:t xml:space="preserve">the preferred route option for the </w:t>
            </w:r>
            <w:r w:rsidR="002A4CC7">
              <w:t>proposals</w:t>
            </w:r>
            <w:r w:rsidR="00EA2FBE">
              <w:t xml:space="preserve"> and</w:t>
            </w:r>
            <w:r w:rsidR="00A40FD1">
              <w:t xml:space="preserve"> also</w:t>
            </w:r>
            <w:r>
              <w:t xml:space="preserve"> agree</w:t>
            </w:r>
            <w:r w:rsidR="006D76F2">
              <w:t>d</w:t>
            </w:r>
            <w:r>
              <w:t xml:space="preserve"> with the </w:t>
            </w:r>
            <w:r w:rsidR="002A4CC7">
              <w:t>conclusion</w:t>
            </w:r>
            <w:r>
              <w:t xml:space="preserve"> presented in the </w:t>
            </w:r>
            <w:r w:rsidR="004A4657">
              <w:t>RCD Appraisal Table that this route is likely to affect the lowest number of heritage assets and give rise to the least amount of setting change</w:t>
            </w:r>
            <w:r w:rsidR="002A4CC7">
              <w:t xml:space="preserve">. </w:t>
            </w:r>
            <w:r w:rsidR="00A576D9">
              <w:t xml:space="preserve">As a result, </w:t>
            </w:r>
            <w:r w:rsidR="00A044E2">
              <w:t xml:space="preserve">HES </w:t>
            </w:r>
            <w:r w:rsidR="004B11D6">
              <w:t xml:space="preserve">consider any impacts associated with this route option are </w:t>
            </w:r>
            <w:r w:rsidR="0022094B">
              <w:t xml:space="preserve">unlikely to be significant. </w:t>
            </w:r>
          </w:p>
        </w:tc>
        <w:tc>
          <w:tcPr>
            <w:tcW w:w="5933" w:type="dxa"/>
            <w:shd w:val="clear" w:color="auto" w:fill="FFFFFF"/>
          </w:tcPr>
          <w:p w14:paraId="1141EF07" w14:textId="4D892626" w:rsidR="00AA64A5" w:rsidRDefault="007344EE" w:rsidP="0001557F">
            <w:pPr>
              <w:pStyle w:val="TableText"/>
            </w:pPr>
            <w:r>
              <w:t>DGC</w:t>
            </w:r>
            <w:r w:rsidR="003E7C94">
              <w:t xml:space="preserve">, which includes </w:t>
            </w:r>
            <w:r w:rsidR="0037284C">
              <w:t>their</w:t>
            </w:r>
            <w:r w:rsidR="003E7C94">
              <w:t xml:space="preserve"> archaeology and conservation advice service,</w:t>
            </w:r>
            <w:r w:rsidR="0006358A">
              <w:t xml:space="preserve"> w</w:t>
            </w:r>
            <w:r w:rsidR="00BF6B95">
              <w:t>as</w:t>
            </w:r>
            <w:r w:rsidR="0006358A">
              <w:t xml:space="preserve"> consulted </w:t>
            </w:r>
            <w:r w:rsidR="00CA4CA9">
              <w:t xml:space="preserve">via email on </w:t>
            </w:r>
            <w:r w:rsidR="0037284C">
              <w:t>8</w:t>
            </w:r>
            <w:r w:rsidR="0037284C" w:rsidRPr="0037284C">
              <w:rPr>
                <w:vertAlign w:val="superscript"/>
              </w:rPr>
              <w:t>th</w:t>
            </w:r>
            <w:r w:rsidR="00BF6B95">
              <w:rPr>
                <w:vertAlign w:val="superscript"/>
              </w:rPr>
              <w:t xml:space="preserve"> </w:t>
            </w:r>
            <w:r w:rsidR="00CA4CA9">
              <w:t>October 2021 and 25</w:t>
            </w:r>
            <w:r w:rsidR="00CA4CA9" w:rsidRPr="00CA4CA9">
              <w:rPr>
                <w:vertAlign w:val="superscript"/>
              </w:rPr>
              <w:t>th</w:t>
            </w:r>
            <w:r w:rsidR="00CA4CA9">
              <w:t xml:space="preserve"> October 2021 by LUC. </w:t>
            </w:r>
            <w:r w:rsidR="00F47BDC">
              <w:t xml:space="preserve">No comments have </w:t>
            </w:r>
            <w:r w:rsidR="003E7C94">
              <w:t xml:space="preserve">been received from </w:t>
            </w:r>
            <w:r>
              <w:t>DGC in response to this consultation.</w:t>
            </w:r>
            <w:r w:rsidR="00E82732">
              <w:t xml:space="preserve"> As part of its consultation on the EIA screening request, </w:t>
            </w:r>
            <w:r w:rsidR="00DA6867">
              <w:t xml:space="preserve">the Scottish Government </w:t>
            </w:r>
            <w:r w:rsidR="00C91C90">
              <w:t xml:space="preserve">ECU will </w:t>
            </w:r>
            <w:r w:rsidR="009835D2">
              <w:t>consult with DGC for input to the EIA Screening Opinion</w:t>
            </w:r>
            <w:r w:rsidR="0047163A">
              <w:t xml:space="preserve">, and this will give the </w:t>
            </w:r>
            <w:r w:rsidR="00C91409">
              <w:t>DGC archaeology</w:t>
            </w:r>
            <w:r w:rsidR="00B52D47">
              <w:t xml:space="preserve"> service</w:t>
            </w:r>
            <w:r w:rsidR="00BD261A">
              <w:t xml:space="preserve"> more opportunity</w:t>
            </w:r>
            <w:r w:rsidR="00B52D47">
              <w:t xml:space="preserve"> to provide feedback on the </w:t>
            </w:r>
            <w:r w:rsidR="00BD261A">
              <w:t>project.</w:t>
            </w:r>
            <w:r>
              <w:t xml:space="preserve"> </w:t>
            </w:r>
            <w:r w:rsidR="0038596A">
              <w:t xml:space="preserve">Any feedback received will be taken into consideration as the </w:t>
            </w:r>
            <w:r w:rsidR="00B36CEB">
              <w:t xml:space="preserve">design of the project progresses. </w:t>
            </w:r>
            <w:r w:rsidR="00BD261A">
              <w:t>As part of the Environmental Appraisal</w:t>
            </w:r>
            <w:r w:rsidR="009F3ECD">
              <w:t>/EIA</w:t>
            </w:r>
            <w:r w:rsidR="00BD261A">
              <w:t xml:space="preserve">, </w:t>
            </w:r>
            <w:r w:rsidR="00E10285">
              <w:t xml:space="preserve">the cultural heritage specialists will consult with DGC's archaeology service to inform the </w:t>
            </w:r>
            <w:r w:rsidR="007652CB">
              <w:t xml:space="preserve">cultural heritage </w:t>
            </w:r>
            <w:r w:rsidR="00604623">
              <w:t>assessment. This will include consultation to inform the selection of assessment viewpoints.</w:t>
            </w:r>
          </w:p>
          <w:p w14:paraId="5B5D16FE" w14:textId="597A612C" w:rsidR="008944BD" w:rsidRDefault="008944BD" w:rsidP="0001557F">
            <w:pPr>
              <w:pStyle w:val="TableText"/>
            </w:pPr>
            <w:r>
              <w:t xml:space="preserve">With regards to </w:t>
            </w:r>
            <w:r w:rsidR="00F670BF">
              <w:t xml:space="preserve">the </w:t>
            </w:r>
            <w:r>
              <w:t>Poldean Standing Stone (SM12697)</w:t>
            </w:r>
            <w:r w:rsidR="00527DAA">
              <w:t xml:space="preserve">, </w:t>
            </w:r>
            <w:r w:rsidR="00FF4235">
              <w:t>Milton Roman Fort (SM</w:t>
            </w:r>
            <w:r w:rsidR="00986565">
              <w:t xml:space="preserve">12697) and </w:t>
            </w:r>
            <w:r w:rsidR="002A153D">
              <w:t xml:space="preserve">Catherine's Hill </w:t>
            </w:r>
            <w:r w:rsidR="00AE66C4">
              <w:t>settlement (SM12736)</w:t>
            </w:r>
            <w:r w:rsidR="00547300">
              <w:t xml:space="preserve">, </w:t>
            </w:r>
            <w:r w:rsidR="00AE66C4">
              <w:t xml:space="preserve">Preferred </w:t>
            </w:r>
            <w:r w:rsidR="00183913">
              <w:t>Route</w:t>
            </w:r>
            <w:r w:rsidR="00AE66C4">
              <w:t xml:space="preserve"> Option</w:t>
            </w:r>
            <w:r w:rsidR="00183913">
              <w:t xml:space="preserve"> 3</w:t>
            </w:r>
            <w:r w:rsidR="00F8346C">
              <w:t xml:space="preserve"> is at distance from </w:t>
            </w:r>
            <w:r w:rsidR="00AE66C4">
              <w:t>these assets</w:t>
            </w:r>
            <w:r w:rsidR="00F670BF">
              <w:t xml:space="preserve"> </w:t>
            </w:r>
            <w:r w:rsidR="000C0E62">
              <w:t xml:space="preserve">so no direct effects will occur. </w:t>
            </w:r>
          </w:p>
          <w:p w14:paraId="07FB886A" w14:textId="7474634D" w:rsidR="007344EE" w:rsidRDefault="00E24250" w:rsidP="0001557F">
            <w:pPr>
              <w:pStyle w:val="TableText"/>
            </w:pPr>
            <w:r>
              <w:t xml:space="preserve">Comments on Route 3 being </w:t>
            </w:r>
            <w:r w:rsidR="00080301">
              <w:t xml:space="preserve">selected as the preferred route </w:t>
            </w:r>
            <w:r w:rsidR="00284202">
              <w:t>from a cultural heritage perspective are noted</w:t>
            </w:r>
            <w:r w:rsidR="00DA76E0">
              <w:t>.</w:t>
            </w:r>
            <w:r w:rsidR="00671BD2">
              <w:t xml:space="preserve"> </w:t>
            </w:r>
            <w:r w:rsidR="009F65E8">
              <w:t>SPEN will</w:t>
            </w:r>
            <w:r w:rsidR="00284202">
              <w:t xml:space="preserve"> continue to </w:t>
            </w:r>
            <w:r w:rsidR="00055A82">
              <w:t xml:space="preserve">take into account potential </w:t>
            </w:r>
            <w:r w:rsidR="00A27011">
              <w:t>direct and indirect setting effec</w:t>
            </w:r>
            <w:r w:rsidR="009F65E8">
              <w:t>ts through the iterative design process</w:t>
            </w:r>
            <w:r w:rsidR="00055A82">
              <w:t xml:space="preserve">. </w:t>
            </w:r>
            <w:r w:rsidR="00A046C9">
              <w:t xml:space="preserve">HES and DGC will be consulted as the project progresses, </w:t>
            </w:r>
            <w:r w:rsidR="00D55A74">
              <w:t>including</w:t>
            </w:r>
            <w:r w:rsidR="00A046C9">
              <w:t xml:space="preserve"> to agree</w:t>
            </w:r>
            <w:r w:rsidR="002C74AF">
              <w:t xml:space="preserve"> viewpoint locations for the Environmental Appraisal</w:t>
            </w:r>
            <w:r w:rsidR="00E0104A">
              <w:t>/EIA</w:t>
            </w:r>
            <w:r w:rsidR="002C74AF">
              <w:t>.</w:t>
            </w:r>
          </w:p>
        </w:tc>
      </w:tr>
      <w:tr w:rsidR="00F86A68" w14:paraId="7327000A" w14:textId="77777777" w:rsidTr="0001557F">
        <w:tc>
          <w:tcPr>
            <w:tcW w:w="2122" w:type="dxa"/>
            <w:shd w:val="clear" w:color="auto" w:fill="FFFFFF"/>
          </w:tcPr>
          <w:p w14:paraId="489213DC" w14:textId="7D9D7EF6" w:rsidR="00F86A68" w:rsidRDefault="00F86A68" w:rsidP="0001557F">
            <w:pPr>
              <w:pStyle w:val="TableText"/>
            </w:pPr>
            <w:r>
              <w:t>SEPA</w:t>
            </w:r>
          </w:p>
        </w:tc>
        <w:tc>
          <w:tcPr>
            <w:tcW w:w="5811" w:type="dxa"/>
            <w:shd w:val="clear" w:color="auto" w:fill="FFFFFF"/>
          </w:tcPr>
          <w:p w14:paraId="0115CD8E" w14:textId="77777777" w:rsidR="00F86A68" w:rsidRPr="008D166A" w:rsidRDefault="001178F9" w:rsidP="0001557F">
            <w:pPr>
              <w:pStyle w:val="TableText"/>
            </w:pPr>
            <w:r w:rsidRPr="008D166A">
              <w:t>Response received on 13/12/21</w:t>
            </w:r>
          </w:p>
          <w:p w14:paraId="2710B6AA" w14:textId="146152C6" w:rsidR="001178F9" w:rsidRPr="00F86A68" w:rsidRDefault="00545D22" w:rsidP="0001557F">
            <w:pPr>
              <w:pStyle w:val="TableText"/>
              <w:rPr>
                <w:highlight w:val="yellow"/>
              </w:rPr>
            </w:pPr>
            <w:r w:rsidRPr="008D166A">
              <w:t xml:space="preserve">Agreed with the selection of Route Option 3 </w:t>
            </w:r>
            <w:r w:rsidR="00E0104A">
              <w:t xml:space="preserve">as the preferred route </w:t>
            </w:r>
            <w:r w:rsidRPr="008D166A">
              <w:t xml:space="preserve">on the basis that it </w:t>
            </w:r>
            <w:r w:rsidR="00AA0A2F" w:rsidRPr="008D166A">
              <w:t>crosses the least number of watercourses.</w:t>
            </w:r>
          </w:p>
        </w:tc>
        <w:tc>
          <w:tcPr>
            <w:tcW w:w="5933" w:type="dxa"/>
            <w:shd w:val="clear" w:color="auto" w:fill="FFFFFF"/>
          </w:tcPr>
          <w:p w14:paraId="473C6622" w14:textId="0D19CA6D" w:rsidR="00F86A68" w:rsidRPr="008D166A" w:rsidRDefault="008D166A" w:rsidP="0001557F">
            <w:pPr>
              <w:pStyle w:val="TableText"/>
            </w:pPr>
            <w:r w:rsidRPr="008D166A">
              <w:t xml:space="preserve">Noted. </w:t>
            </w:r>
            <w:r w:rsidR="00FE524F">
              <w:t xml:space="preserve">The detailed </w:t>
            </w:r>
            <w:r w:rsidR="001C346F">
              <w:t>alignment of the OHLs</w:t>
            </w:r>
            <w:r w:rsidR="00D16205">
              <w:t xml:space="preserve"> and positioning of woo</w:t>
            </w:r>
            <w:r w:rsidR="00DD59E3">
              <w:t>d</w:t>
            </w:r>
            <w:r w:rsidR="00D16205">
              <w:t xml:space="preserve"> poles and other infrastructure</w:t>
            </w:r>
            <w:r w:rsidR="001C346F">
              <w:t xml:space="preserve"> will continue to avoid</w:t>
            </w:r>
            <w:r w:rsidR="00CA1482">
              <w:t xml:space="preserve"> watercourse</w:t>
            </w:r>
            <w:r w:rsidR="00D16205">
              <w:t>s</w:t>
            </w:r>
            <w:r w:rsidR="00CA1482">
              <w:t xml:space="preserve"> </w:t>
            </w:r>
            <w:r w:rsidR="00DD59E3">
              <w:t>and</w:t>
            </w:r>
            <w:r w:rsidR="00B2160E">
              <w:t xml:space="preserve"> maintain at least a 50m buffer from watercourses </w:t>
            </w:r>
            <w:r w:rsidR="00DD59E3">
              <w:t>where possible.</w:t>
            </w:r>
          </w:p>
        </w:tc>
      </w:tr>
      <w:tr w:rsidR="0001557F" w14:paraId="58E640BC" w14:textId="77777777" w:rsidTr="0001557F">
        <w:tc>
          <w:tcPr>
            <w:tcW w:w="2122" w:type="dxa"/>
            <w:shd w:val="clear" w:color="auto" w:fill="FFFFFF"/>
          </w:tcPr>
          <w:p w14:paraId="63723674" w14:textId="75A82C0B" w:rsidR="0001557F" w:rsidRDefault="00ED6A4D" w:rsidP="0001557F">
            <w:pPr>
              <w:pStyle w:val="TableText"/>
            </w:pPr>
            <w:r>
              <w:t xml:space="preserve">Transport Scotland </w:t>
            </w:r>
          </w:p>
        </w:tc>
        <w:tc>
          <w:tcPr>
            <w:tcW w:w="5811" w:type="dxa"/>
            <w:shd w:val="clear" w:color="auto" w:fill="FFFFFF"/>
          </w:tcPr>
          <w:p w14:paraId="761E4435" w14:textId="77777777" w:rsidR="0001557F" w:rsidRDefault="00F774B7" w:rsidP="0001557F">
            <w:pPr>
              <w:pStyle w:val="TableText"/>
            </w:pPr>
            <w:r>
              <w:t xml:space="preserve">Response received </w:t>
            </w:r>
            <w:r w:rsidR="00D44723">
              <w:t>24/11/21</w:t>
            </w:r>
          </w:p>
          <w:p w14:paraId="671E74BC" w14:textId="4D144C6B" w:rsidR="00D44723" w:rsidRDefault="008C4789" w:rsidP="0001557F">
            <w:pPr>
              <w:pStyle w:val="TableText"/>
            </w:pPr>
            <w:r>
              <w:t xml:space="preserve">Raised no objection </w:t>
            </w:r>
            <w:r w:rsidR="00D5219C">
              <w:t xml:space="preserve">to the proposed route for the OHL </w:t>
            </w:r>
            <w:r w:rsidR="00C46A9E">
              <w:t>as</w:t>
            </w:r>
            <w:r w:rsidR="00D5219C">
              <w:t xml:space="preserve"> </w:t>
            </w:r>
            <w:r w:rsidR="00C46A9E">
              <w:t>R</w:t>
            </w:r>
            <w:r w:rsidR="00D5219C">
              <w:t xml:space="preserve">oute </w:t>
            </w:r>
            <w:r w:rsidR="00C46A9E">
              <w:t>O</w:t>
            </w:r>
            <w:r w:rsidR="00D5219C">
              <w:t xml:space="preserve">ption 3 lies </w:t>
            </w:r>
            <w:r w:rsidR="009E0353">
              <w:t>entirely</w:t>
            </w:r>
            <w:r w:rsidR="00D5219C">
              <w:t xml:space="preserve"> east of the M74(T)</w:t>
            </w:r>
            <w:r w:rsidR="009E0353">
              <w:t xml:space="preserve">, with no potential to physically impact the trunk road network. </w:t>
            </w:r>
            <w:r w:rsidR="0008729F">
              <w:t xml:space="preserve"> </w:t>
            </w:r>
          </w:p>
          <w:p w14:paraId="2F9FE884" w14:textId="48533CBC" w:rsidR="00B862D8" w:rsidRDefault="00B862D8" w:rsidP="0001557F">
            <w:pPr>
              <w:pStyle w:val="TableText"/>
            </w:pPr>
            <w:r>
              <w:t xml:space="preserve">Noted, </w:t>
            </w:r>
            <w:r w:rsidR="00044FE7">
              <w:t>that it</w:t>
            </w:r>
            <w:r>
              <w:t xml:space="preserve"> is unclear in the RCD</w:t>
            </w:r>
            <w:r w:rsidR="00722CDB">
              <w:t xml:space="preserve"> whether </w:t>
            </w:r>
            <w:r w:rsidR="009F3ECD">
              <w:t>a</w:t>
            </w:r>
            <w:r w:rsidR="00722CDB">
              <w:t xml:space="preserve">bnormal </w:t>
            </w:r>
            <w:r w:rsidR="009F3ECD">
              <w:t>l</w:t>
            </w:r>
            <w:r w:rsidR="00722CDB">
              <w:t xml:space="preserve">oads will be required during construction of the OHL </w:t>
            </w:r>
            <w:r w:rsidR="003806A1">
              <w:t xml:space="preserve">but it is assumed these will not be required. </w:t>
            </w:r>
          </w:p>
        </w:tc>
        <w:tc>
          <w:tcPr>
            <w:tcW w:w="5933" w:type="dxa"/>
            <w:shd w:val="clear" w:color="auto" w:fill="FFFFFF"/>
          </w:tcPr>
          <w:p w14:paraId="2BF445FE" w14:textId="6BB08D92" w:rsidR="0001557F" w:rsidRDefault="006A7B65" w:rsidP="0001557F">
            <w:pPr>
              <w:pStyle w:val="TableText"/>
            </w:pPr>
            <w:r>
              <w:t>Comments on Route</w:t>
            </w:r>
            <w:r w:rsidR="00146FD7">
              <w:t xml:space="preserve"> Option 3 </w:t>
            </w:r>
            <w:r w:rsidR="00047407">
              <w:t xml:space="preserve">are </w:t>
            </w:r>
            <w:r w:rsidR="00146FD7">
              <w:t>noted.</w:t>
            </w:r>
          </w:p>
          <w:p w14:paraId="24A7EAC5" w14:textId="76D73D8A" w:rsidR="00146FD7" w:rsidRDefault="00183FB0" w:rsidP="0001557F">
            <w:pPr>
              <w:pStyle w:val="TableText"/>
            </w:pPr>
            <w:r>
              <w:t xml:space="preserve">No abnormal loads will be required for construction of the OHL. </w:t>
            </w:r>
          </w:p>
        </w:tc>
      </w:tr>
    </w:tbl>
    <w:p w14:paraId="3D496756" w14:textId="73FD709A" w:rsidR="00F10D29" w:rsidRDefault="00F10D29" w:rsidP="00953855"/>
    <w:p w14:paraId="5CD5AEB7" w14:textId="0C9C9C8B" w:rsidR="00EC6B81" w:rsidRPr="00EC6B81" w:rsidRDefault="00EC6B81" w:rsidP="00EC6B81"/>
    <w:p w14:paraId="6F2E2FD9" w14:textId="77777777" w:rsidR="00EC6B81" w:rsidRPr="00EC6B81" w:rsidRDefault="00EC6B81" w:rsidP="00EC6B81">
      <w:pPr>
        <w:jc w:val="right"/>
      </w:pPr>
    </w:p>
    <w:p w14:paraId="017A9ACA" w14:textId="77777777" w:rsidR="00650A1A" w:rsidRDefault="00650A1A" w:rsidP="00650A1A">
      <w:pPr>
        <w:pStyle w:val="TableTitle"/>
      </w:pPr>
      <w:r>
        <w:lastRenderedPageBreak/>
        <w:t>Summary of Consultation Feedback from Community Councils</w:t>
      </w:r>
    </w:p>
    <w:tbl>
      <w:tblPr>
        <w:tblW w:w="13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113" w:type="dxa"/>
        </w:tblCellMar>
        <w:tblLook w:val="0000" w:firstRow="0" w:lastRow="0" w:firstColumn="0" w:lastColumn="0" w:noHBand="0" w:noVBand="0"/>
        <w:tblCaption w:val="LUCTable"/>
        <w:tblDescription w:val="Standard|Even|1HeadingRows|Plain|NoTotal|NormalFont"/>
      </w:tblPr>
      <w:tblGrid>
        <w:gridCol w:w="2122"/>
        <w:gridCol w:w="5811"/>
        <w:gridCol w:w="5933"/>
      </w:tblGrid>
      <w:tr w:rsidR="00650A1A" w14:paraId="528D0B44" w14:textId="77777777" w:rsidTr="00650A1A">
        <w:trPr>
          <w:tblHeader/>
        </w:trPr>
        <w:tc>
          <w:tcPr>
            <w:tcW w:w="2122" w:type="dxa"/>
            <w:shd w:val="clear" w:color="auto" w:fill="6EB02D"/>
          </w:tcPr>
          <w:p w14:paraId="4C30B895" w14:textId="4A1A0751" w:rsidR="00650A1A" w:rsidRDefault="00650A1A" w:rsidP="00650A1A">
            <w:pPr>
              <w:pStyle w:val="TableHeading"/>
            </w:pPr>
            <w:r>
              <w:t>Consultee</w:t>
            </w:r>
          </w:p>
        </w:tc>
        <w:tc>
          <w:tcPr>
            <w:tcW w:w="5811" w:type="dxa"/>
            <w:shd w:val="clear" w:color="auto" w:fill="6EB02D"/>
          </w:tcPr>
          <w:p w14:paraId="04260AFE" w14:textId="6397815F" w:rsidR="00650A1A" w:rsidRDefault="00650A1A" w:rsidP="00650A1A">
            <w:pPr>
              <w:pStyle w:val="TableHeading"/>
            </w:pPr>
            <w:r>
              <w:t>Summary of Feedback</w:t>
            </w:r>
          </w:p>
        </w:tc>
        <w:tc>
          <w:tcPr>
            <w:tcW w:w="5933" w:type="dxa"/>
            <w:shd w:val="clear" w:color="auto" w:fill="6EB02D"/>
          </w:tcPr>
          <w:p w14:paraId="4280641A" w14:textId="464AF646" w:rsidR="00650A1A" w:rsidRDefault="00650A1A" w:rsidP="00650A1A">
            <w:pPr>
              <w:pStyle w:val="TableHeading"/>
            </w:pPr>
            <w:r>
              <w:t>SPEN Response / Comments</w:t>
            </w:r>
          </w:p>
        </w:tc>
      </w:tr>
      <w:tr w:rsidR="00650A1A" w14:paraId="68A967D0" w14:textId="77777777" w:rsidTr="00650A1A">
        <w:tc>
          <w:tcPr>
            <w:tcW w:w="2122" w:type="dxa"/>
            <w:shd w:val="clear" w:color="auto" w:fill="FFFFFF"/>
          </w:tcPr>
          <w:p w14:paraId="07F61708" w14:textId="6A4E9C69" w:rsidR="00650A1A" w:rsidRDefault="00650A1A" w:rsidP="00650A1A">
            <w:pPr>
              <w:pStyle w:val="TableText"/>
            </w:pPr>
            <w:r>
              <w:t>Kilpatrick Juxta Community Council (KJCC)</w:t>
            </w:r>
          </w:p>
        </w:tc>
        <w:tc>
          <w:tcPr>
            <w:tcW w:w="5811" w:type="dxa"/>
            <w:shd w:val="clear" w:color="auto" w:fill="FFFFFF"/>
          </w:tcPr>
          <w:p w14:paraId="64D350D1" w14:textId="77777777" w:rsidR="00650A1A" w:rsidRDefault="00650A1A" w:rsidP="00650A1A">
            <w:pPr>
              <w:pStyle w:val="TableText"/>
            </w:pPr>
            <w:r>
              <w:t>Response received 01/12/21</w:t>
            </w:r>
          </w:p>
          <w:p w14:paraId="19D0589D" w14:textId="77777777" w:rsidR="00650A1A" w:rsidRDefault="00650A1A" w:rsidP="00650A1A">
            <w:pPr>
              <w:pStyle w:val="TableText"/>
            </w:pPr>
            <w:r>
              <w:t xml:space="preserve">Noted that whilst there are some local people in the community who are happy for renewable energy expansion no matter the means, there are far more members of the community who are not of this view. </w:t>
            </w:r>
          </w:p>
          <w:p w14:paraId="68E44E15" w14:textId="77777777" w:rsidR="00650A1A" w:rsidRDefault="00650A1A" w:rsidP="00650A1A">
            <w:pPr>
              <w:pStyle w:val="TableText"/>
            </w:pPr>
            <w:r>
              <w:t xml:space="preserve">Appreciated that SPEN's position to offer overground connection options are mainly based on economic considerations and acknowledged the cost of an underground connection would be much higher financially. </w:t>
            </w:r>
          </w:p>
          <w:p w14:paraId="19946DAC" w14:textId="77777777" w:rsidR="00650A1A" w:rsidRDefault="00650A1A" w:rsidP="00650A1A">
            <w:pPr>
              <w:pStyle w:val="TableText"/>
            </w:pPr>
            <w:r>
              <w:t xml:space="preserve">However, the cost to the village community, the impact on the skyline and the potential loss of income generated from tourism are also equally valid factors and must be fully assessed before adding to the visual impairment which is becoming more prevalent in the area due to the proliferation of wind farms.  </w:t>
            </w:r>
          </w:p>
          <w:p w14:paraId="6E40247E" w14:textId="77777777" w:rsidR="00650A1A" w:rsidRDefault="00650A1A" w:rsidP="00650A1A">
            <w:pPr>
              <w:pStyle w:val="TableText"/>
            </w:pPr>
            <w:r>
              <w:t xml:space="preserve">Noted Beattock is almost completely surrounded on all sides by unnatural additions to the hillsides and the option of the Scoop Hill 132kV OHL will contribute to this in an unacceptable manner which can be avoided. </w:t>
            </w:r>
          </w:p>
          <w:p w14:paraId="2DC4DAC7" w14:textId="77777777" w:rsidR="00650A1A" w:rsidRDefault="00650A1A" w:rsidP="00650A1A">
            <w:pPr>
              <w:pStyle w:val="TableText"/>
            </w:pPr>
            <w:r>
              <w:t xml:space="preserve">The community were originally promised a connection from the wind farm that would be undergrounded when the Scoop Hill Community Wind Farm was first proposed by the developer and this was communicated to them both in writing and verbally. However, the developer may have omitted to mention that it would be SPEN rather than the developer who would be taking the connection forward. As a result, when the route options were announced, from the perspective on many locals, it has demonstrated a complete disregard of community opinion. </w:t>
            </w:r>
          </w:p>
          <w:p w14:paraId="06DE53E5" w14:textId="7409D86F" w:rsidR="00650A1A" w:rsidRDefault="00650A1A" w:rsidP="00650A1A">
            <w:pPr>
              <w:pStyle w:val="TableText"/>
            </w:pPr>
            <w:r>
              <w:t>The community have concerns with another OHL in the area, given the aftermath of the recent Storm Arwen causing many homes and businesses to have no power for several days. In light of climate change, it is likely in the future these occurrences will become more frequent and extreme and if the connection was to be below ground the disruption could be minimal.</w:t>
            </w:r>
          </w:p>
        </w:tc>
        <w:tc>
          <w:tcPr>
            <w:tcW w:w="5933" w:type="dxa"/>
            <w:shd w:val="clear" w:color="auto" w:fill="FFFFFF"/>
          </w:tcPr>
          <w:p w14:paraId="6309A007" w14:textId="77777777" w:rsidR="00650A1A" w:rsidRDefault="00650A1A" w:rsidP="00650A1A">
            <w:pPr>
              <w:pStyle w:val="TableText"/>
            </w:pPr>
            <w:r>
              <w:t>Comments noted. These points were raised and discussed on the call with SPEN on 30</w:t>
            </w:r>
            <w:r w:rsidRPr="005D4792">
              <w:rPr>
                <w:vertAlign w:val="superscript"/>
              </w:rPr>
              <w:t>th</w:t>
            </w:r>
            <w:r>
              <w:t xml:space="preserve"> November 2021.</w:t>
            </w:r>
          </w:p>
          <w:p w14:paraId="034D1299" w14:textId="2C53AE98" w:rsidR="00650A1A" w:rsidRDefault="00650A1A" w:rsidP="00960AEC">
            <w:pPr>
              <w:pStyle w:val="TableText"/>
            </w:pPr>
            <w:r>
              <w:t xml:space="preserve">SP Energy Networks (SPEN) has a legal duty to develop and maintain </w:t>
            </w:r>
            <w:r w:rsidR="00960AEC" w:rsidRPr="00960AEC">
              <w:rPr>
                <w:szCs w:val="22"/>
              </w:rPr>
              <w:t xml:space="preserve">an efficient, co-ordinated and economical system </w:t>
            </w:r>
            <w:r w:rsidR="00960AEC">
              <w:rPr>
                <w:szCs w:val="22"/>
              </w:rPr>
              <w:t>of electricity transmission.</w:t>
            </w:r>
            <w:r w:rsidR="00960AEC">
              <w:t xml:space="preserve"> </w:t>
            </w:r>
            <w:r>
              <w:t xml:space="preserve">As the transmission license holder for central and southern Scotland, SPEN is </w:t>
            </w:r>
            <w:r w:rsidR="00960AEC">
              <w:t xml:space="preserve">also </w:t>
            </w:r>
            <w:r>
              <w:t xml:space="preserve">obliged  to provide a connection for new customers wishing to connect in </w:t>
            </w:r>
            <w:r w:rsidR="00960AEC">
              <w:t>its</w:t>
            </w:r>
            <w:r>
              <w:t xml:space="preserve"> area. In keeping with th</w:t>
            </w:r>
            <w:r w:rsidR="00185399">
              <w:t xml:space="preserve">is </w:t>
            </w:r>
            <w:r>
              <w:t xml:space="preserve">obligation, SPEN </w:t>
            </w:r>
            <w:r w:rsidR="00960AEC">
              <w:t xml:space="preserve">requires to </w:t>
            </w:r>
            <w:r>
              <w:t xml:space="preserve">offer a connection </w:t>
            </w:r>
            <w:r w:rsidR="00960AEC">
              <w:t xml:space="preserve">which is technically feasible and efficient, economically viable and which balances effects on the environment and people.  That </w:t>
            </w:r>
            <w:r w:rsidR="00185399">
              <w:t xml:space="preserve">option </w:t>
            </w:r>
            <w:r>
              <w:t>is generally OHL at transmission voltages. As SPEN move</w:t>
            </w:r>
            <w:r w:rsidR="00185399">
              <w:t>s</w:t>
            </w:r>
            <w:r>
              <w:t xml:space="preserve"> forward with a project, </w:t>
            </w:r>
            <w:r w:rsidR="00960AEC">
              <w:t xml:space="preserve">it </w:t>
            </w:r>
            <w:r>
              <w:t xml:space="preserve"> continue</w:t>
            </w:r>
            <w:r w:rsidR="00960AEC">
              <w:t>s</w:t>
            </w:r>
            <w:r>
              <w:t xml:space="preserve"> to balance technical and economic considerations alongside landscape, environmental and community considerations in order to develop proposals which achieve the best balance. </w:t>
            </w:r>
          </w:p>
          <w:p w14:paraId="3ECF3A32" w14:textId="6453C3A4" w:rsidR="00650A1A" w:rsidRDefault="00650A1A" w:rsidP="00650A1A">
            <w:pPr>
              <w:pStyle w:val="TableText"/>
            </w:pPr>
            <w:r>
              <w:t>In regards to Scoop Hill, the proposed connection is for two 132,000 volt (132kV) OHLs on wooden poles between the wind</w:t>
            </w:r>
            <w:r w:rsidR="00655826">
              <w:t xml:space="preserve"> </w:t>
            </w:r>
            <w:r>
              <w:t xml:space="preserve">farm substation at Scoop Hill and </w:t>
            </w:r>
            <w:r w:rsidR="0068634C">
              <w:t>Moffat</w:t>
            </w:r>
            <w:r>
              <w:t xml:space="preserve"> substation </w:t>
            </w:r>
            <w:r w:rsidR="005B204B">
              <w:t>(</w:t>
            </w:r>
            <w:r>
              <w:t>at Bearholm</w:t>
            </w:r>
            <w:r w:rsidR="005B204B">
              <w:t>)</w:t>
            </w:r>
            <w:r>
              <w:t xml:space="preserve">. SPEN remains confident that the solution being presented achieves the best balance of these </w:t>
            </w:r>
            <w:r w:rsidR="00185399">
              <w:t>considerations</w:t>
            </w:r>
            <w:r>
              <w:t xml:space="preserve">. Further information on </w:t>
            </w:r>
            <w:r w:rsidR="00185399">
              <w:t xml:space="preserve">the use of </w:t>
            </w:r>
            <w:r>
              <w:t>underground cable can be found under</w:t>
            </w:r>
            <w:r w:rsidR="00185399">
              <w:t xml:space="preserve"> the</w:t>
            </w:r>
            <w:r>
              <w:t xml:space="preserve"> 'undergrounding' section in </w:t>
            </w:r>
            <w:r w:rsidRPr="004A5753">
              <w:rPr>
                <w:b/>
                <w:bCs/>
              </w:rPr>
              <w:t>Table 1.3</w:t>
            </w:r>
            <w:r>
              <w:t xml:space="preserve"> </w:t>
            </w:r>
            <w:r w:rsidR="00185399">
              <w:t xml:space="preserve">below. The response </w:t>
            </w:r>
            <w:r>
              <w:t xml:space="preserve">details SPEN's general approach to underground cables. </w:t>
            </w:r>
          </w:p>
          <w:p w14:paraId="2EF85600" w14:textId="77777777" w:rsidR="00650A1A" w:rsidRDefault="00650A1A" w:rsidP="00650A1A">
            <w:pPr>
              <w:pStyle w:val="TableText"/>
            </w:pPr>
            <w:r>
              <w:t>Landscape and visual issues (including residential visual amenity) have been taken into account in the appraisal and selection of Route Option 3, and will continue to be a key consideration as the detailed design of the project progresses.  This route will avoid the highest ground in the eastern and northern part of the study area thus reducing visibility from settlements along the M74 corridor, including Beattock. The route also avoids the Moffat Hills Regional Scenic Area (RSA) and does not route west of properties within the study area which have principal open views towards the River Annan. The detailed design of the OHLs, including positioning of individual wood poles, will continue to reflect the need to minimise landscape and visual issues (including views from residential properties), and this will continue to remain as a key design consideration as the project develops.</w:t>
            </w:r>
          </w:p>
          <w:p w14:paraId="1A451E55" w14:textId="13752966" w:rsidR="00650A1A" w:rsidRDefault="00650A1A" w:rsidP="00650A1A">
            <w:pPr>
              <w:pStyle w:val="TableText"/>
            </w:pPr>
            <w:r>
              <w:t xml:space="preserve">Regarding storms and </w:t>
            </w:r>
            <w:r w:rsidR="00185399">
              <w:t xml:space="preserve">their </w:t>
            </w:r>
            <w:r>
              <w:t xml:space="preserve">effects on power supply, it should be noted that OHLs offer the most efficient means of transmitting electricity. OHLs are designed to high technical standards, including making sure that appropriate set back distances from other OHLs, tall structures such as turbines and trees are achieved to minimise disruption to supplies. </w:t>
            </w:r>
          </w:p>
        </w:tc>
      </w:tr>
      <w:tr w:rsidR="00126E1A" w14:paraId="3D9670F8" w14:textId="77777777" w:rsidTr="00650A1A">
        <w:tc>
          <w:tcPr>
            <w:tcW w:w="2122" w:type="dxa"/>
            <w:vMerge w:val="restart"/>
            <w:shd w:val="clear" w:color="auto" w:fill="FFFFFF"/>
          </w:tcPr>
          <w:p w14:paraId="46007499" w14:textId="4F2CCF3E" w:rsidR="00126E1A" w:rsidRDefault="00126E1A" w:rsidP="00650A1A">
            <w:pPr>
              <w:pStyle w:val="TableText"/>
            </w:pPr>
            <w:r>
              <w:lastRenderedPageBreak/>
              <w:t>Moffat and District Community Council (MDCC)</w:t>
            </w:r>
          </w:p>
        </w:tc>
        <w:tc>
          <w:tcPr>
            <w:tcW w:w="5811" w:type="dxa"/>
            <w:shd w:val="clear" w:color="auto" w:fill="FFFFFF"/>
          </w:tcPr>
          <w:p w14:paraId="05175232" w14:textId="77777777" w:rsidR="00126E1A" w:rsidRPr="00D44060" w:rsidRDefault="00126E1A" w:rsidP="00650A1A">
            <w:pPr>
              <w:pStyle w:val="TableText"/>
            </w:pPr>
            <w:r w:rsidRPr="00D44060">
              <w:t>Response received 05/11/21</w:t>
            </w:r>
          </w:p>
          <w:p w14:paraId="1A85E9DA" w14:textId="6AB90561" w:rsidR="00126E1A" w:rsidRDefault="00126E1A" w:rsidP="00650A1A">
            <w:pPr>
              <w:pStyle w:val="TableText"/>
            </w:pPr>
            <w:r w:rsidRPr="00D44060">
              <w:t xml:space="preserve">Confirmed the CC would like to schedule a virtual meeting to obtain more information on the proposal. </w:t>
            </w:r>
          </w:p>
        </w:tc>
        <w:tc>
          <w:tcPr>
            <w:tcW w:w="5933" w:type="dxa"/>
            <w:shd w:val="clear" w:color="auto" w:fill="FFFFFF"/>
          </w:tcPr>
          <w:p w14:paraId="1E6902A0" w14:textId="57104370" w:rsidR="00126E1A" w:rsidRDefault="00126E1A" w:rsidP="00650A1A">
            <w:pPr>
              <w:pStyle w:val="TableText"/>
            </w:pPr>
            <w:r w:rsidRPr="00D44060">
              <w:t xml:space="preserve">A </w:t>
            </w:r>
            <w:r>
              <w:t>zoom</w:t>
            </w:r>
            <w:r w:rsidRPr="00D44060">
              <w:t xml:space="preserve"> call took place at 7pm on 30</w:t>
            </w:r>
            <w:r w:rsidRPr="00D44060">
              <w:rPr>
                <w:vertAlign w:val="superscript"/>
              </w:rPr>
              <w:t>th</w:t>
            </w:r>
            <w:r w:rsidRPr="00D44060">
              <w:t xml:space="preserve"> November</w:t>
            </w:r>
            <w:r>
              <w:t xml:space="preserve"> 2021</w:t>
            </w:r>
            <w:r w:rsidRPr="00D44060">
              <w:t xml:space="preserve"> </w:t>
            </w:r>
            <w:r>
              <w:t xml:space="preserve">with MDCC and KJCC. Members of SPEN and LUC were also in attendance. </w:t>
            </w:r>
          </w:p>
        </w:tc>
      </w:tr>
      <w:tr w:rsidR="00126E1A" w14:paraId="5897028C" w14:textId="77777777" w:rsidTr="00650A1A">
        <w:tc>
          <w:tcPr>
            <w:tcW w:w="2122" w:type="dxa"/>
            <w:vMerge/>
            <w:shd w:val="clear" w:color="auto" w:fill="FFFFFF"/>
          </w:tcPr>
          <w:p w14:paraId="4F78A073" w14:textId="77777777" w:rsidR="00126E1A" w:rsidRDefault="00126E1A" w:rsidP="00650A1A">
            <w:pPr>
              <w:pStyle w:val="TableText"/>
            </w:pPr>
          </w:p>
        </w:tc>
        <w:tc>
          <w:tcPr>
            <w:tcW w:w="5811" w:type="dxa"/>
            <w:shd w:val="clear" w:color="auto" w:fill="FFFFFF"/>
          </w:tcPr>
          <w:p w14:paraId="25F7FA6D" w14:textId="77777777" w:rsidR="00126E1A" w:rsidRDefault="00126E1A" w:rsidP="00650A1A">
            <w:pPr>
              <w:pStyle w:val="TableText"/>
            </w:pPr>
            <w:r>
              <w:t>Response received 03/12/21</w:t>
            </w:r>
          </w:p>
          <w:p w14:paraId="354F002A" w14:textId="77777777" w:rsidR="00126E1A" w:rsidRDefault="00126E1A" w:rsidP="00650A1A">
            <w:pPr>
              <w:pStyle w:val="TableText"/>
            </w:pPr>
            <w:r>
              <w:t xml:space="preserve">The MDCC would prefer underground cabling and this should be considered as Option 6 and discussed amongst the stakeholders. </w:t>
            </w:r>
          </w:p>
          <w:p w14:paraId="61B04B1E" w14:textId="339787A9" w:rsidR="00126E1A" w:rsidRDefault="00126E1A" w:rsidP="00650A1A">
            <w:pPr>
              <w:pStyle w:val="TableText"/>
            </w:pPr>
            <w:r>
              <w:t>Noted a community consultation of the Scoop Hill</w:t>
            </w:r>
            <w:r w:rsidR="003449FE">
              <w:t xml:space="preserve"> Community</w:t>
            </w:r>
            <w:r>
              <w:t xml:space="preserve"> Wind Farm planning application in the summer of 2021 and the visual impacts of the Wind Farm were a key concern. No concerns were raised in relation to the Scoop Hill Grid Connection as it was of the understanding to all members that this would be undergrounded. </w:t>
            </w:r>
          </w:p>
        </w:tc>
        <w:tc>
          <w:tcPr>
            <w:tcW w:w="5933" w:type="dxa"/>
            <w:shd w:val="clear" w:color="auto" w:fill="FFFFFF"/>
          </w:tcPr>
          <w:p w14:paraId="74CF55AB" w14:textId="77777777" w:rsidR="00126E1A" w:rsidRDefault="00126E1A" w:rsidP="00650A1A">
            <w:pPr>
              <w:pStyle w:val="TableText"/>
            </w:pPr>
            <w:r>
              <w:t xml:space="preserve">See response to KJCC above in relation to undergrounding. </w:t>
            </w:r>
          </w:p>
          <w:p w14:paraId="51166F57" w14:textId="215DCCCB" w:rsidR="00126E1A" w:rsidRDefault="00126E1A" w:rsidP="00650A1A">
            <w:pPr>
              <w:pStyle w:val="TableText"/>
            </w:pPr>
            <w:r>
              <w:t>SPEN is obliged (under</w:t>
            </w:r>
            <w:r w:rsidR="00185399">
              <w:t xml:space="preserve"> the terms of its licence)</w:t>
            </w:r>
            <w:r>
              <w:t xml:space="preserve">) to provide a connection for new customers wishing to connect in </w:t>
            </w:r>
            <w:r w:rsidR="00185399">
              <w:t xml:space="preserve">its </w:t>
            </w:r>
            <w:r>
              <w:t xml:space="preserve"> area. In keeping with th</w:t>
            </w:r>
            <w:r w:rsidR="00185399">
              <w:t>is</w:t>
            </w:r>
            <w:r>
              <w:t xml:space="preserve"> obligation, SPEN</w:t>
            </w:r>
            <w:r w:rsidR="00185399">
              <w:t xml:space="preserve"> requires to offer a connection which is technically feasible and efficient, economically viable and which balances effects on the environment and </w:t>
            </w:r>
            <w:r w:rsidR="005F3DDA">
              <w:t>people. That</w:t>
            </w:r>
            <w:r w:rsidR="00185399">
              <w:t xml:space="preserve"> option</w:t>
            </w:r>
            <w:r>
              <w:t xml:space="preserve"> is generally</w:t>
            </w:r>
            <w:r w:rsidR="009F4F5D">
              <w:t xml:space="preserve"> an</w:t>
            </w:r>
            <w:r>
              <w:t xml:space="preserve"> OHL at transmission voltages. As SPEN move</w:t>
            </w:r>
            <w:r w:rsidR="00B876E3">
              <w:t>s</w:t>
            </w:r>
            <w:r>
              <w:t xml:space="preserve"> forward with a project, </w:t>
            </w:r>
            <w:r w:rsidR="00185399">
              <w:t xml:space="preserve">it </w:t>
            </w:r>
            <w:r>
              <w:t>continue</w:t>
            </w:r>
            <w:r w:rsidR="00185399">
              <w:t>s</w:t>
            </w:r>
            <w:r>
              <w:t xml:space="preserve"> to balance technical and economic considerations alongside landscape, environmental and community considerations in order to develop proposals which achieve the best balance. </w:t>
            </w:r>
          </w:p>
          <w:p w14:paraId="433EBAF4" w14:textId="19A481F6" w:rsidR="000C2E3C" w:rsidRDefault="00126E1A" w:rsidP="000C2E3C">
            <w:pPr>
              <w:pStyle w:val="TableText"/>
            </w:pPr>
            <w:r>
              <w:t xml:space="preserve">In regards to Scoop Hill, the proposed connection is for two 132kV OHLs on wooden poles between the wind farm substation at Scoop Hill and </w:t>
            </w:r>
            <w:r w:rsidR="005B204B">
              <w:t xml:space="preserve">Moffat </w:t>
            </w:r>
            <w:r>
              <w:t xml:space="preserve"> substation</w:t>
            </w:r>
            <w:r w:rsidR="005B204B">
              <w:t>.</w:t>
            </w:r>
            <w:r>
              <w:t xml:space="preserve">  SPEN remains confident that the solution being presented achieves the best balance of these</w:t>
            </w:r>
            <w:r w:rsidR="000C2E3C">
              <w:t xml:space="preserve"> considerations</w:t>
            </w:r>
            <w:r>
              <w:t xml:space="preserve">. Further information on </w:t>
            </w:r>
            <w:r w:rsidR="000C2E3C">
              <w:t xml:space="preserve">the use of </w:t>
            </w:r>
            <w:r>
              <w:t>underground cable can be found under</w:t>
            </w:r>
            <w:r w:rsidR="000C2E3C">
              <w:t xml:space="preserve"> the</w:t>
            </w:r>
            <w:r>
              <w:t xml:space="preserve"> 'undergrounding' section in </w:t>
            </w:r>
            <w:r w:rsidRPr="004A5753">
              <w:rPr>
                <w:b/>
                <w:bCs/>
              </w:rPr>
              <w:t>Table 1.3</w:t>
            </w:r>
            <w:r w:rsidR="000C2E3C" w:rsidRPr="00507E57">
              <w:rPr>
                <w:bCs/>
              </w:rPr>
              <w:t xml:space="preserve"> below.</w:t>
            </w:r>
            <w:r w:rsidR="00502980">
              <w:rPr>
                <w:bCs/>
              </w:rPr>
              <w:t xml:space="preserve"> </w:t>
            </w:r>
            <w:r w:rsidR="000C2E3C" w:rsidRPr="00507E57">
              <w:rPr>
                <w:bCs/>
              </w:rPr>
              <w:t>The response</w:t>
            </w:r>
            <w:r w:rsidRPr="000C2E3C">
              <w:t xml:space="preserve"> </w:t>
            </w:r>
            <w:r>
              <w:t>details SPEN's general approach to underground cables.</w:t>
            </w:r>
          </w:p>
        </w:tc>
      </w:tr>
    </w:tbl>
    <w:p w14:paraId="0FADBA2F" w14:textId="77777777" w:rsidR="0001557F" w:rsidRDefault="0001557F" w:rsidP="0001557F">
      <w:pPr>
        <w:pStyle w:val="TableTitle"/>
      </w:pPr>
      <w:r>
        <w:t>Summary of Consultation Feedback from Non-Statutory Consultees</w:t>
      </w:r>
    </w:p>
    <w:tbl>
      <w:tblPr>
        <w:tblW w:w="13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113" w:type="dxa"/>
        </w:tblCellMar>
        <w:tblLook w:val="0000" w:firstRow="0" w:lastRow="0" w:firstColumn="0" w:lastColumn="0" w:noHBand="0" w:noVBand="0"/>
        <w:tblCaption w:val="LUCTable"/>
        <w:tblDescription w:val="Standard|Even|1HeadingRows|Plain|NoTotal|NormalFont"/>
      </w:tblPr>
      <w:tblGrid>
        <w:gridCol w:w="2122"/>
        <w:gridCol w:w="5811"/>
        <w:gridCol w:w="5933"/>
      </w:tblGrid>
      <w:tr w:rsidR="0001557F" w14:paraId="4B9CA4F4" w14:textId="77777777" w:rsidTr="0001557F">
        <w:trPr>
          <w:tblHeader/>
        </w:trPr>
        <w:tc>
          <w:tcPr>
            <w:tcW w:w="2122" w:type="dxa"/>
            <w:shd w:val="clear" w:color="auto" w:fill="6EB02D"/>
          </w:tcPr>
          <w:p w14:paraId="042EB6AC" w14:textId="754EF50D" w:rsidR="0001557F" w:rsidRDefault="0001557F" w:rsidP="0001557F">
            <w:pPr>
              <w:pStyle w:val="TableHeading"/>
            </w:pPr>
            <w:r>
              <w:t>Consultee</w:t>
            </w:r>
          </w:p>
        </w:tc>
        <w:tc>
          <w:tcPr>
            <w:tcW w:w="5811" w:type="dxa"/>
            <w:shd w:val="clear" w:color="auto" w:fill="6EB02D"/>
          </w:tcPr>
          <w:p w14:paraId="0F228BAD" w14:textId="250D3FFB" w:rsidR="0001557F" w:rsidRDefault="0001557F" w:rsidP="0001557F">
            <w:pPr>
              <w:pStyle w:val="TableHeading"/>
            </w:pPr>
            <w:r>
              <w:t xml:space="preserve">Summary of Feedback </w:t>
            </w:r>
          </w:p>
        </w:tc>
        <w:tc>
          <w:tcPr>
            <w:tcW w:w="5933" w:type="dxa"/>
            <w:shd w:val="clear" w:color="auto" w:fill="6EB02D"/>
          </w:tcPr>
          <w:p w14:paraId="3B551F40" w14:textId="32AE9B41" w:rsidR="0001557F" w:rsidRDefault="0001557F" w:rsidP="0001557F">
            <w:pPr>
              <w:pStyle w:val="TableHeading"/>
            </w:pPr>
            <w:r>
              <w:t xml:space="preserve">Response / Comments </w:t>
            </w:r>
          </w:p>
        </w:tc>
      </w:tr>
      <w:tr w:rsidR="0001557F" w14:paraId="632EA5F0" w14:textId="77777777" w:rsidTr="0001557F">
        <w:tc>
          <w:tcPr>
            <w:tcW w:w="2122" w:type="dxa"/>
            <w:shd w:val="clear" w:color="auto" w:fill="FFFFFF"/>
          </w:tcPr>
          <w:p w14:paraId="53710226" w14:textId="45FFBC08" w:rsidR="0001557F" w:rsidRDefault="00821C59" w:rsidP="0001557F">
            <w:pPr>
              <w:pStyle w:val="TableText"/>
            </w:pPr>
            <w:r>
              <w:t>Scottish Wildlife Trust (SWT)</w:t>
            </w:r>
          </w:p>
        </w:tc>
        <w:tc>
          <w:tcPr>
            <w:tcW w:w="5811" w:type="dxa"/>
            <w:shd w:val="clear" w:color="auto" w:fill="FFFFFF"/>
          </w:tcPr>
          <w:p w14:paraId="752BB162" w14:textId="77777777" w:rsidR="0001557F" w:rsidRDefault="00821C59" w:rsidP="0001557F">
            <w:pPr>
              <w:pStyle w:val="TableText"/>
            </w:pPr>
            <w:r>
              <w:t>Response received 27/10/21</w:t>
            </w:r>
          </w:p>
          <w:p w14:paraId="4472461D" w14:textId="01CFA39E" w:rsidR="00821C59" w:rsidRDefault="00821C59" w:rsidP="0001557F">
            <w:pPr>
              <w:pStyle w:val="TableText"/>
            </w:pPr>
            <w:r>
              <w:t xml:space="preserve">Raised that the possible works may impact on the red squirrel population in the area. </w:t>
            </w:r>
          </w:p>
          <w:p w14:paraId="532E4336" w14:textId="77777777" w:rsidR="00821C59" w:rsidRDefault="00821C59" w:rsidP="0001557F">
            <w:pPr>
              <w:pStyle w:val="TableText"/>
            </w:pPr>
            <w:r>
              <w:t xml:space="preserve">Advised they would expect that all relevant surveys are carried out in advance and the work is planned to factor in the breeding season. </w:t>
            </w:r>
          </w:p>
          <w:p w14:paraId="316C6005" w14:textId="7AC31DA0" w:rsidR="00821C59" w:rsidRDefault="00821C59" w:rsidP="0001557F">
            <w:pPr>
              <w:pStyle w:val="TableText"/>
            </w:pPr>
            <w:r>
              <w:t xml:space="preserve">When planning any felling, </w:t>
            </w:r>
            <w:r w:rsidR="00CF66A7">
              <w:t xml:space="preserve">SWT </w:t>
            </w:r>
            <w:r>
              <w:t>would appreciate if the movement of squirrels and habitat connectivity can be taken into consideration</w:t>
            </w:r>
            <w:r w:rsidR="00755B7D">
              <w:t>,</w:t>
            </w:r>
            <w:r>
              <w:t xml:space="preserve"> and suggest that alongside felling permission</w:t>
            </w:r>
            <w:r w:rsidR="00D818FC">
              <w:t>,</w:t>
            </w:r>
            <w:r>
              <w:t xml:space="preserve"> </w:t>
            </w:r>
            <w:r w:rsidRPr="00821C59">
              <w:t xml:space="preserve">landowners and contractors are made aware of the risk and responsibility they have to resident red squirrels, and are made aware of surveys to be conducted in advance of felling activities </w:t>
            </w:r>
          </w:p>
        </w:tc>
        <w:tc>
          <w:tcPr>
            <w:tcW w:w="5933" w:type="dxa"/>
            <w:shd w:val="clear" w:color="auto" w:fill="FFFFFF"/>
          </w:tcPr>
          <w:p w14:paraId="425CB0AF" w14:textId="09B86422" w:rsidR="00821C59" w:rsidRDefault="00784212" w:rsidP="00821C59">
            <w:pPr>
              <w:pStyle w:val="TableText"/>
            </w:pPr>
            <w:r>
              <w:t>SPEN email r</w:t>
            </w:r>
            <w:r w:rsidR="00821C59">
              <w:t>espon</w:t>
            </w:r>
            <w:r w:rsidR="00D073C5">
              <w:t xml:space="preserve">se </w:t>
            </w:r>
            <w:r>
              <w:t xml:space="preserve">sent </w:t>
            </w:r>
            <w:r w:rsidR="00821C59">
              <w:t>on 27/10/21</w:t>
            </w:r>
          </w:p>
          <w:p w14:paraId="2005317E" w14:textId="26865DD7" w:rsidR="00821C59" w:rsidRDefault="004C262A" w:rsidP="00821C59">
            <w:pPr>
              <w:pStyle w:val="TableText"/>
            </w:pPr>
            <w:r>
              <w:t>SPEN c</w:t>
            </w:r>
            <w:r w:rsidR="00821C59">
              <w:t>onfirmed that any necessary red squirrel surveys will be completed once the application is progressed to the formal environmental assessment</w:t>
            </w:r>
            <w:r w:rsidR="000C2E3C">
              <w:t>/appraisal</w:t>
            </w:r>
            <w:r w:rsidR="00F4457B">
              <w:t xml:space="preserve"> </w:t>
            </w:r>
            <w:r w:rsidR="00821C59">
              <w:t xml:space="preserve">stage. Appropriate mitigation to avoid or offset </w:t>
            </w:r>
            <w:r w:rsidR="000C2E3C">
              <w:t xml:space="preserve">any </w:t>
            </w:r>
            <w:r w:rsidR="00821C59">
              <w:t>effect on red squirrels</w:t>
            </w:r>
            <w:r w:rsidR="002D4EFF">
              <w:t>, including a Species Protection Plan (SPP),</w:t>
            </w:r>
            <w:r w:rsidR="00821C59">
              <w:t xml:space="preserve"> will be developed if required. </w:t>
            </w:r>
          </w:p>
          <w:p w14:paraId="25AC6F18" w14:textId="71378530" w:rsidR="00821C59" w:rsidRDefault="00821C59" w:rsidP="000C2E3C">
            <w:pPr>
              <w:pStyle w:val="TableText"/>
            </w:pPr>
            <w:r>
              <w:t xml:space="preserve">Should consent be granted for </w:t>
            </w:r>
            <w:r w:rsidR="00F4457B">
              <w:t>the project</w:t>
            </w:r>
            <w:r>
              <w:t>, further pre-construction surveys would be undertaken</w:t>
            </w:r>
            <w:r w:rsidR="00D818FC">
              <w:t xml:space="preserve"> and overseen by an Ecological Clerk of Works (ECoW)</w:t>
            </w:r>
            <w:r>
              <w:t xml:space="preserve">, including obtaining any species licenses required. </w:t>
            </w:r>
          </w:p>
        </w:tc>
      </w:tr>
      <w:tr w:rsidR="0001557F" w14:paraId="5F3D1BBA" w14:textId="77777777" w:rsidTr="0001557F">
        <w:tc>
          <w:tcPr>
            <w:tcW w:w="2122" w:type="dxa"/>
            <w:shd w:val="clear" w:color="auto" w:fill="FFFFFF"/>
          </w:tcPr>
          <w:p w14:paraId="0FA0C733" w14:textId="05BF6774" w:rsidR="0001557F" w:rsidRDefault="00753AE3" w:rsidP="0001557F">
            <w:pPr>
              <w:pStyle w:val="TableText"/>
            </w:pPr>
            <w:r>
              <w:t xml:space="preserve">Coal Authority </w:t>
            </w:r>
          </w:p>
        </w:tc>
        <w:tc>
          <w:tcPr>
            <w:tcW w:w="5811" w:type="dxa"/>
            <w:shd w:val="clear" w:color="auto" w:fill="FFFFFF"/>
          </w:tcPr>
          <w:p w14:paraId="1EFF0F2B" w14:textId="77777777" w:rsidR="0001557F" w:rsidRDefault="00753AE3" w:rsidP="0001557F">
            <w:pPr>
              <w:pStyle w:val="TableText"/>
            </w:pPr>
            <w:r>
              <w:t>Response received 29/10/21</w:t>
            </w:r>
          </w:p>
          <w:p w14:paraId="2606AF4B" w14:textId="6CAC3133" w:rsidR="00753AE3" w:rsidRDefault="00753AE3" w:rsidP="0001557F">
            <w:pPr>
              <w:pStyle w:val="TableText"/>
            </w:pPr>
            <w:r>
              <w:lastRenderedPageBreak/>
              <w:t xml:space="preserve">Confirmed the study area for the proposed development is located outside of the defined coalfield and therefore have no specific comments or observations to make on the proposal. </w:t>
            </w:r>
          </w:p>
        </w:tc>
        <w:tc>
          <w:tcPr>
            <w:tcW w:w="5933" w:type="dxa"/>
            <w:shd w:val="clear" w:color="auto" w:fill="FFFFFF"/>
          </w:tcPr>
          <w:p w14:paraId="697F99D3" w14:textId="5544D7BD" w:rsidR="0001557F" w:rsidRDefault="001C6488" w:rsidP="0001557F">
            <w:pPr>
              <w:pStyle w:val="TableText"/>
            </w:pPr>
            <w:r>
              <w:lastRenderedPageBreak/>
              <w:t>Noted. No response required.</w:t>
            </w:r>
          </w:p>
        </w:tc>
      </w:tr>
      <w:tr w:rsidR="0001557F" w14:paraId="1BB9DCAD" w14:textId="77777777" w:rsidTr="0001557F">
        <w:tc>
          <w:tcPr>
            <w:tcW w:w="2122" w:type="dxa"/>
            <w:shd w:val="clear" w:color="auto" w:fill="FFFFFF"/>
          </w:tcPr>
          <w:p w14:paraId="465D93E0" w14:textId="5C3AECA8" w:rsidR="0001557F" w:rsidRDefault="00753AE3" w:rsidP="0001557F">
            <w:pPr>
              <w:pStyle w:val="TableText"/>
            </w:pPr>
            <w:r>
              <w:t>The Health and Safety Executive (HSE)</w:t>
            </w:r>
          </w:p>
        </w:tc>
        <w:tc>
          <w:tcPr>
            <w:tcW w:w="5811" w:type="dxa"/>
            <w:shd w:val="clear" w:color="auto" w:fill="FFFFFF"/>
          </w:tcPr>
          <w:p w14:paraId="52F0D3F9" w14:textId="77777777" w:rsidR="0001557F" w:rsidRDefault="00753AE3" w:rsidP="0001557F">
            <w:pPr>
              <w:pStyle w:val="TableText"/>
            </w:pPr>
            <w:r>
              <w:t>Response received 03/11/21</w:t>
            </w:r>
          </w:p>
          <w:p w14:paraId="0EFEC208" w14:textId="3C0BA94A" w:rsidR="00753AE3" w:rsidRDefault="00753AE3" w:rsidP="0001557F">
            <w:pPr>
              <w:pStyle w:val="TableText"/>
            </w:pPr>
            <w:r>
              <w:t xml:space="preserve">Confirmed the proposed development would not lead to a material increase in the number of people within a consultation distance. Therefore, HSE do not require to be consulted further and have no comments to make on the proposal. </w:t>
            </w:r>
          </w:p>
        </w:tc>
        <w:tc>
          <w:tcPr>
            <w:tcW w:w="5933" w:type="dxa"/>
            <w:shd w:val="clear" w:color="auto" w:fill="FFFFFF"/>
          </w:tcPr>
          <w:p w14:paraId="5E667596" w14:textId="4FF45340" w:rsidR="0001557F" w:rsidRDefault="0003463A" w:rsidP="00AB0F24">
            <w:pPr>
              <w:pStyle w:val="TableText"/>
              <w:ind w:left="0"/>
            </w:pPr>
            <w:r>
              <w:t xml:space="preserve"> </w:t>
            </w:r>
            <w:r w:rsidR="00A55D08">
              <w:t xml:space="preserve"> </w:t>
            </w:r>
            <w:r>
              <w:t xml:space="preserve">Noted. No response required. </w:t>
            </w:r>
          </w:p>
        </w:tc>
      </w:tr>
      <w:tr w:rsidR="0001557F" w14:paraId="5E931E41" w14:textId="77777777" w:rsidTr="0001557F">
        <w:tc>
          <w:tcPr>
            <w:tcW w:w="2122" w:type="dxa"/>
            <w:shd w:val="clear" w:color="auto" w:fill="FFFFFF"/>
          </w:tcPr>
          <w:p w14:paraId="4453A2E0" w14:textId="6D73B900" w:rsidR="0001557F" w:rsidRDefault="00462982" w:rsidP="0001557F">
            <w:pPr>
              <w:pStyle w:val="TableText"/>
            </w:pPr>
            <w:r>
              <w:t xml:space="preserve">BT Radio Network </w:t>
            </w:r>
          </w:p>
        </w:tc>
        <w:tc>
          <w:tcPr>
            <w:tcW w:w="5811" w:type="dxa"/>
            <w:shd w:val="clear" w:color="auto" w:fill="FFFFFF"/>
          </w:tcPr>
          <w:p w14:paraId="3F35AF73" w14:textId="77777777" w:rsidR="0001557F" w:rsidRDefault="00462982" w:rsidP="0001557F">
            <w:pPr>
              <w:pStyle w:val="TableText"/>
            </w:pPr>
            <w:r>
              <w:t>Response received 10/11/21</w:t>
            </w:r>
          </w:p>
          <w:p w14:paraId="5CC6919A" w14:textId="6B5CBDC2" w:rsidR="00462982" w:rsidRDefault="00462982" w:rsidP="0001557F">
            <w:pPr>
              <w:pStyle w:val="TableText"/>
            </w:pPr>
            <w:r>
              <w:t xml:space="preserve">Noted the project should not cause any interference to BT's current and presently planned radio network. </w:t>
            </w:r>
            <w:r w:rsidR="004B2356">
              <w:t>The f</w:t>
            </w:r>
            <w:r>
              <w:t xml:space="preserve">igure below shows there are no active/planned radio links (purple lines) within 100m of the central points labelled WID11678 with red dots. </w:t>
            </w:r>
          </w:p>
          <w:p w14:paraId="6CB3FEAE" w14:textId="0A3942B9" w:rsidR="00462982" w:rsidRDefault="00462982" w:rsidP="0001557F">
            <w:pPr>
              <w:pStyle w:val="TableText"/>
            </w:pPr>
            <w:r w:rsidRPr="00462982">
              <w:rPr>
                <w:noProof/>
                <w:lang w:eastAsia="en-GB"/>
              </w:rPr>
              <w:drawing>
                <wp:inline distT="0" distB="0" distL="0" distR="0" wp14:anchorId="51C1657C" wp14:editId="6F56F17E">
                  <wp:extent cx="2827655" cy="2099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32259" cy="2102572"/>
                          </a:xfrm>
                          <a:prstGeom prst="rect">
                            <a:avLst/>
                          </a:prstGeom>
                        </pic:spPr>
                      </pic:pic>
                    </a:graphicData>
                  </a:graphic>
                </wp:inline>
              </w:drawing>
            </w:r>
          </w:p>
          <w:p w14:paraId="579C56E5" w14:textId="43F0F436" w:rsidR="00462982" w:rsidRDefault="00462982" w:rsidP="00462982">
            <w:pPr>
              <w:pStyle w:val="TableText"/>
            </w:pPr>
            <w:r>
              <w:t xml:space="preserve">Requested to be notified once the coordinates have been confirmed to allow a further check to be completed. All queries should be directed to </w:t>
            </w:r>
            <w:hyperlink r:id="rId13" w:history="1">
              <w:r w:rsidRPr="00DB257D">
                <w:rPr>
                  <w:rStyle w:val="Hyperlink"/>
                </w:rPr>
                <w:t>radionetworkprotection@bt.com</w:t>
              </w:r>
            </w:hyperlink>
          </w:p>
        </w:tc>
        <w:tc>
          <w:tcPr>
            <w:tcW w:w="5933" w:type="dxa"/>
            <w:shd w:val="clear" w:color="auto" w:fill="FFFFFF"/>
          </w:tcPr>
          <w:p w14:paraId="6441CFCA" w14:textId="77777777" w:rsidR="0001557F" w:rsidRDefault="004C03EB" w:rsidP="0001557F">
            <w:pPr>
              <w:pStyle w:val="TableText"/>
            </w:pPr>
            <w:r>
              <w:t xml:space="preserve">Noted. No response required. </w:t>
            </w:r>
          </w:p>
          <w:p w14:paraId="23BE8222" w14:textId="0BCACFA2" w:rsidR="004C03EB" w:rsidRDefault="004C03EB" w:rsidP="000C2E3C">
            <w:pPr>
              <w:pStyle w:val="TableText"/>
            </w:pPr>
            <w:r>
              <w:t>Fixed microwave links will continue to be considered as a design constraint as the project progresses to detailed design. BT will be consulted on the</w:t>
            </w:r>
            <w:r w:rsidR="000C2E3C">
              <w:t xml:space="preserve"> application for</w:t>
            </w:r>
            <w:r>
              <w:t xml:space="preserve"> Section 37</w:t>
            </w:r>
            <w:r w:rsidR="000C2E3C">
              <w:t>consent</w:t>
            </w:r>
            <w:r>
              <w:t xml:space="preserve">. </w:t>
            </w:r>
          </w:p>
        </w:tc>
      </w:tr>
      <w:tr w:rsidR="0001557F" w14:paraId="73069F11" w14:textId="77777777" w:rsidTr="0001557F">
        <w:tc>
          <w:tcPr>
            <w:tcW w:w="2122" w:type="dxa"/>
            <w:shd w:val="clear" w:color="auto" w:fill="FFFFFF"/>
          </w:tcPr>
          <w:p w14:paraId="4CFC7D87" w14:textId="7B70B98F" w:rsidR="0001557F" w:rsidRDefault="00D073C5" w:rsidP="0001557F">
            <w:pPr>
              <w:pStyle w:val="TableText"/>
            </w:pPr>
            <w:r>
              <w:t>Scottish Badgers</w:t>
            </w:r>
          </w:p>
        </w:tc>
        <w:tc>
          <w:tcPr>
            <w:tcW w:w="5811" w:type="dxa"/>
            <w:shd w:val="clear" w:color="auto" w:fill="FFFFFF"/>
          </w:tcPr>
          <w:p w14:paraId="11F7D424" w14:textId="77777777" w:rsidR="0001557F" w:rsidRDefault="00D073C5" w:rsidP="0001557F">
            <w:pPr>
              <w:pStyle w:val="TableText"/>
            </w:pPr>
            <w:r>
              <w:t>Response received 12/11/21</w:t>
            </w:r>
          </w:p>
          <w:p w14:paraId="055DC6A4" w14:textId="7541356E" w:rsidR="00D073C5" w:rsidRDefault="00D073C5" w:rsidP="0001557F">
            <w:pPr>
              <w:pStyle w:val="TableText"/>
            </w:pPr>
            <w:r>
              <w:t>Noted</w:t>
            </w:r>
            <w:r w:rsidR="004666BF">
              <w:t xml:space="preserve">  </w:t>
            </w:r>
            <w:r>
              <w:t xml:space="preserve">there are records of badger setts around the substation </w:t>
            </w:r>
            <w:r w:rsidR="00864215">
              <w:t>and</w:t>
            </w:r>
            <w:r>
              <w:t xml:space="preserve"> along all route options. </w:t>
            </w:r>
          </w:p>
          <w:p w14:paraId="0D687CB0" w14:textId="12C56417" w:rsidR="00D073C5" w:rsidRDefault="00D073C5" w:rsidP="0001557F">
            <w:pPr>
              <w:pStyle w:val="TableText"/>
            </w:pPr>
            <w:r>
              <w:t xml:space="preserve">Some sett records also appear to be present along field margins and open ground. Therefore, robust protected species surveys should be undertaken to include these habitats in addition to the typical woodland and margins. </w:t>
            </w:r>
          </w:p>
        </w:tc>
        <w:tc>
          <w:tcPr>
            <w:tcW w:w="5933" w:type="dxa"/>
            <w:shd w:val="clear" w:color="auto" w:fill="FFFFFF"/>
          </w:tcPr>
          <w:p w14:paraId="68706140" w14:textId="663B1EFB" w:rsidR="0001557F" w:rsidRDefault="00A55D08" w:rsidP="0001557F">
            <w:pPr>
              <w:pStyle w:val="TableText"/>
            </w:pPr>
            <w:r>
              <w:t xml:space="preserve">SPEN email response sent on </w:t>
            </w:r>
            <w:r w:rsidR="00D073C5">
              <w:t>12/11/21</w:t>
            </w:r>
          </w:p>
          <w:p w14:paraId="030E0DF2" w14:textId="29F7C8BC" w:rsidR="00D073C5" w:rsidRDefault="00792A0D" w:rsidP="0001557F">
            <w:pPr>
              <w:pStyle w:val="TableText"/>
            </w:pPr>
            <w:r>
              <w:t>SPEN c</w:t>
            </w:r>
            <w:r w:rsidR="00D073C5">
              <w:t>onfirmed</w:t>
            </w:r>
            <w:r w:rsidR="00156985">
              <w:t xml:space="preserve"> that</w:t>
            </w:r>
            <w:r w:rsidR="00D073C5">
              <w:t xml:space="preserve"> protected species surveys will be undertaken once the route </w:t>
            </w:r>
            <w:r w:rsidR="00816D4B">
              <w:t>is more defined following</w:t>
            </w:r>
            <w:r w:rsidR="00D073C5">
              <w:t xml:space="preserve"> consultation. These surveys will be used to inform </w:t>
            </w:r>
            <w:r w:rsidR="00561E00">
              <w:t xml:space="preserve">the </w:t>
            </w:r>
            <w:r w:rsidR="00561ADD">
              <w:t xml:space="preserve">detailed </w:t>
            </w:r>
            <w:r w:rsidR="00561E00">
              <w:t>OHL alignment</w:t>
            </w:r>
            <w:r w:rsidR="00D073C5">
              <w:t xml:space="preserve"> during which </w:t>
            </w:r>
            <w:r w:rsidR="004B4FBD">
              <w:t xml:space="preserve">any identified </w:t>
            </w:r>
            <w:r w:rsidR="00B766B9">
              <w:t xml:space="preserve"> badger setts</w:t>
            </w:r>
            <w:r w:rsidR="00D43DB5">
              <w:t xml:space="preserve"> will</w:t>
            </w:r>
            <w:r w:rsidR="00D073C5">
              <w:t xml:space="preserve"> </w:t>
            </w:r>
            <w:r w:rsidR="00B766B9">
              <w:t>be avoided</w:t>
            </w:r>
            <w:r w:rsidR="00D073C5">
              <w:t>, whilst balancing other factors which can influence the placement of individual poles.</w:t>
            </w:r>
          </w:p>
          <w:p w14:paraId="7C841AD7" w14:textId="7E8C3B1C" w:rsidR="00D073C5" w:rsidRDefault="00D073C5" w:rsidP="0001557F">
            <w:pPr>
              <w:pStyle w:val="TableText"/>
            </w:pPr>
            <w:r>
              <w:lastRenderedPageBreak/>
              <w:t xml:space="preserve">Confirmed </w:t>
            </w:r>
            <w:r w:rsidR="008063EB">
              <w:t>that</w:t>
            </w:r>
            <w:r>
              <w:t xml:space="preserve"> robust mitigation proposal</w:t>
            </w:r>
            <w:r w:rsidR="00D43DB5">
              <w:t>s</w:t>
            </w:r>
            <w:r w:rsidR="00B204AF">
              <w:t xml:space="preserve"> will be implemented, including pre-construction surveys and the implementation of a S</w:t>
            </w:r>
            <w:r w:rsidR="000C2E3C">
              <w:t>pecies Protection Plan</w:t>
            </w:r>
            <w:r w:rsidR="00B204AF">
              <w:t xml:space="preserve">. </w:t>
            </w:r>
          </w:p>
        </w:tc>
      </w:tr>
    </w:tbl>
    <w:p w14:paraId="12AB94F4" w14:textId="49558CD4" w:rsidR="0001557F" w:rsidRDefault="0001557F" w:rsidP="00953855"/>
    <w:p w14:paraId="5A24B41C" w14:textId="77777777" w:rsidR="0001557F" w:rsidRDefault="0001557F" w:rsidP="0001557F">
      <w:pPr>
        <w:pStyle w:val="TableTitle"/>
      </w:pPr>
      <w:r>
        <w:t>Summary of Consultation Feedback from Public Representation</w:t>
      </w:r>
    </w:p>
    <w:tbl>
      <w:tblPr>
        <w:tblW w:w="13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0" w:type="dxa"/>
          <w:right w:w="113" w:type="dxa"/>
        </w:tblCellMar>
        <w:tblLook w:val="0000" w:firstRow="0" w:lastRow="0" w:firstColumn="0" w:lastColumn="0" w:noHBand="0" w:noVBand="0"/>
        <w:tblCaption w:val="LUCTable"/>
        <w:tblDescription w:val="Standard|Even|1HeadingRows|Plain|NoTotal|NormalFont"/>
      </w:tblPr>
      <w:tblGrid>
        <w:gridCol w:w="2122"/>
        <w:gridCol w:w="5811"/>
        <w:gridCol w:w="5933"/>
      </w:tblGrid>
      <w:tr w:rsidR="0001557F" w14:paraId="0D3F7B8D" w14:textId="77777777" w:rsidTr="0001557F">
        <w:trPr>
          <w:tblHeader/>
        </w:trPr>
        <w:tc>
          <w:tcPr>
            <w:tcW w:w="2122" w:type="dxa"/>
            <w:shd w:val="clear" w:color="auto" w:fill="6EB02D"/>
          </w:tcPr>
          <w:p w14:paraId="72F53B8D" w14:textId="071BFA41" w:rsidR="0001557F" w:rsidRDefault="0001557F" w:rsidP="0001557F">
            <w:pPr>
              <w:pStyle w:val="TableHeading"/>
            </w:pPr>
            <w:r>
              <w:t xml:space="preserve">Key Themes / Topics </w:t>
            </w:r>
          </w:p>
        </w:tc>
        <w:tc>
          <w:tcPr>
            <w:tcW w:w="5811" w:type="dxa"/>
            <w:shd w:val="clear" w:color="auto" w:fill="6EB02D"/>
          </w:tcPr>
          <w:p w14:paraId="44FA7E5E" w14:textId="46F63F38" w:rsidR="0001557F" w:rsidRDefault="0001557F" w:rsidP="0001557F">
            <w:pPr>
              <w:pStyle w:val="TableHeading"/>
            </w:pPr>
            <w:r>
              <w:t>Issue Raised</w:t>
            </w:r>
          </w:p>
        </w:tc>
        <w:tc>
          <w:tcPr>
            <w:tcW w:w="5933" w:type="dxa"/>
            <w:shd w:val="clear" w:color="auto" w:fill="6EB02D"/>
          </w:tcPr>
          <w:p w14:paraId="58CEB696" w14:textId="1F65EDAE" w:rsidR="0001557F" w:rsidRDefault="0001557F" w:rsidP="0001557F">
            <w:pPr>
              <w:pStyle w:val="TableHeading"/>
            </w:pPr>
            <w:r>
              <w:t xml:space="preserve">Response / Comments </w:t>
            </w:r>
          </w:p>
        </w:tc>
      </w:tr>
      <w:tr w:rsidR="0001557F" w14:paraId="1488537B" w14:textId="77777777" w:rsidTr="0001557F">
        <w:tc>
          <w:tcPr>
            <w:tcW w:w="2122" w:type="dxa"/>
            <w:shd w:val="clear" w:color="auto" w:fill="FFFFFF"/>
          </w:tcPr>
          <w:p w14:paraId="577388A4" w14:textId="45B9ECD6" w:rsidR="0001557F" w:rsidRDefault="00481726" w:rsidP="0001557F">
            <w:pPr>
              <w:pStyle w:val="TableText"/>
            </w:pPr>
            <w:r>
              <w:t>Where will the electricity from the wind</w:t>
            </w:r>
            <w:r w:rsidR="00070188">
              <w:t xml:space="preserve"> </w:t>
            </w:r>
            <w:r>
              <w:t>farm be consumed?</w:t>
            </w:r>
            <w:r w:rsidR="00EF04A4">
              <w:t xml:space="preserve"> </w:t>
            </w:r>
          </w:p>
        </w:tc>
        <w:tc>
          <w:tcPr>
            <w:tcW w:w="5811" w:type="dxa"/>
            <w:shd w:val="clear" w:color="auto" w:fill="FFFFFF"/>
          </w:tcPr>
          <w:p w14:paraId="064DF32B" w14:textId="32C54688" w:rsidR="00EF04A4" w:rsidRDefault="00EF04A4" w:rsidP="0001557F">
            <w:pPr>
              <w:pStyle w:val="TableText"/>
            </w:pPr>
            <w:r>
              <w:t xml:space="preserve">Asked if the electricity will be distributed entirely in Scotland once it reaches the substation. </w:t>
            </w:r>
          </w:p>
        </w:tc>
        <w:tc>
          <w:tcPr>
            <w:tcW w:w="5933" w:type="dxa"/>
            <w:shd w:val="clear" w:color="auto" w:fill="FFFFFF"/>
          </w:tcPr>
          <w:p w14:paraId="401E6226" w14:textId="3848C423" w:rsidR="0001557F" w:rsidRDefault="00230B20" w:rsidP="0001557F">
            <w:pPr>
              <w:pStyle w:val="TableText"/>
            </w:pPr>
            <w:r>
              <w:t>SPEN r</w:t>
            </w:r>
            <w:r w:rsidR="00EF04A4">
              <w:t xml:space="preserve">esponded </w:t>
            </w:r>
            <w:r>
              <w:t xml:space="preserve">by email </w:t>
            </w:r>
            <w:r w:rsidR="004D19C0">
              <w:t xml:space="preserve">on 03/11/21 </w:t>
            </w:r>
            <w:r>
              <w:t xml:space="preserve">as follows: </w:t>
            </w:r>
          </w:p>
          <w:p w14:paraId="77766833" w14:textId="3D6E7399" w:rsidR="00EF04A4" w:rsidRDefault="00EF04A4" w:rsidP="00EF04A4">
            <w:pPr>
              <w:pStyle w:val="TableText"/>
            </w:pPr>
            <w:r>
              <w:t>"</w:t>
            </w:r>
            <w:r>
              <w:rPr>
                <w:i/>
                <w:iCs/>
              </w:rPr>
              <w:t>T</w:t>
            </w:r>
            <w:r w:rsidRPr="00EF04A4">
              <w:rPr>
                <w:i/>
                <w:iCs/>
              </w:rPr>
              <w:t>he electricity that would be generated at the proposed windfarm at Scoop Hill could be distributed and used anywhere in the UK due to the nature of the fully interconnected transmission system between Scotland, England and Wales. The proposed connection will allow the electricity produced by the Scoop Hill Windfarm to access the wider UK transmission system, via Moffat substation. From there it can supply homes and businesses throughout Scotland as well as the wider UK system via the existing Anglo-Scottish overhead line interconnector, which carries electricity between Scotland and England."</w:t>
            </w:r>
          </w:p>
        </w:tc>
      </w:tr>
      <w:tr w:rsidR="0001557F" w14:paraId="11316D6C" w14:textId="77777777" w:rsidTr="0001557F">
        <w:tc>
          <w:tcPr>
            <w:tcW w:w="2122" w:type="dxa"/>
            <w:shd w:val="clear" w:color="auto" w:fill="FFFFFF"/>
          </w:tcPr>
          <w:p w14:paraId="4CF75F56" w14:textId="48C77D57" w:rsidR="0001557F" w:rsidRDefault="008B5905" w:rsidP="0001557F">
            <w:pPr>
              <w:pStyle w:val="TableText"/>
            </w:pPr>
            <w:r>
              <w:t xml:space="preserve">Removal of Turbines </w:t>
            </w:r>
          </w:p>
        </w:tc>
        <w:tc>
          <w:tcPr>
            <w:tcW w:w="5811" w:type="dxa"/>
            <w:shd w:val="clear" w:color="auto" w:fill="FFFFFF"/>
          </w:tcPr>
          <w:p w14:paraId="6FE9544C" w14:textId="77777777" w:rsidR="0001557F" w:rsidRPr="00230B20" w:rsidRDefault="008B5905" w:rsidP="0001557F">
            <w:pPr>
              <w:pStyle w:val="TableText"/>
            </w:pPr>
            <w:r w:rsidRPr="00230B20">
              <w:t>Response received 12/11/21</w:t>
            </w:r>
          </w:p>
          <w:p w14:paraId="49115549" w14:textId="68720D7F" w:rsidR="008B5905" w:rsidRDefault="008B5905" w:rsidP="008B5905">
            <w:pPr>
              <w:pStyle w:val="TableText"/>
            </w:pPr>
            <w:r>
              <w:t xml:space="preserve">Asked if the three turbines viewed from Moffat High Street that have been removed could be reinstated and the profits from the energy produced be paid info the Moffat Community? </w:t>
            </w:r>
          </w:p>
        </w:tc>
        <w:tc>
          <w:tcPr>
            <w:tcW w:w="5933" w:type="dxa"/>
            <w:shd w:val="clear" w:color="auto" w:fill="FFFFFF"/>
          </w:tcPr>
          <w:p w14:paraId="4FE2DBD1" w14:textId="3EBF5ED5" w:rsidR="0001557F" w:rsidRDefault="004D19C0" w:rsidP="0001557F">
            <w:pPr>
              <w:pStyle w:val="TableText"/>
            </w:pPr>
            <w:r>
              <w:t>SPEN responded by email on</w:t>
            </w:r>
            <w:r w:rsidR="007D4FAC">
              <w:t xml:space="preserve"> 12/11/21</w:t>
            </w:r>
            <w:r>
              <w:t>.</w:t>
            </w:r>
          </w:p>
          <w:p w14:paraId="3901B2B4" w14:textId="20A12949" w:rsidR="007D4FAC" w:rsidRDefault="007D4FAC">
            <w:pPr>
              <w:pStyle w:val="TableText"/>
            </w:pPr>
            <w:r>
              <w:t>Confirmed the Scoop Hill</w:t>
            </w:r>
            <w:r w:rsidR="003449FE">
              <w:t xml:space="preserve"> Community</w:t>
            </w:r>
            <w:r>
              <w:t xml:space="preserve"> Wind Farm is not part of this </w:t>
            </w:r>
            <w:r w:rsidR="00481726">
              <w:t>consultation or development for which SPEN is responsible. T</w:t>
            </w:r>
            <w:r>
              <w:t>herefore the final decision on turbine locations and where the revenue will go is not for SPEN to decide.</w:t>
            </w:r>
          </w:p>
        </w:tc>
      </w:tr>
      <w:tr w:rsidR="00066B74" w14:paraId="6AAEA2E1" w14:textId="77777777" w:rsidTr="0001557F">
        <w:tc>
          <w:tcPr>
            <w:tcW w:w="2122" w:type="dxa"/>
            <w:shd w:val="clear" w:color="auto" w:fill="FFFFFF"/>
          </w:tcPr>
          <w:p w14:paraId="462C1389" w14:textId="30E0AF9D" w:rsidR="00066B74" w:rsidRDefault="008F5F58" w:rsidP="0001557F">
            <w:pPr>
              <w:pStyle w:val="TableText"/>
            </w:pPr>
            <w:r>
              <w:t xml:space="preserve">Undergrounding </w:t>
            </w:r>
          </w:p>
        </w:tc>
        <w:tc>
          <w:tcPr>
            <w:tcW w:w="5811" w:type="dxa"/>
            <w:shd w:val="clear" w:color="auto" w:fill="FFFFFF"/>
          </w:tcPr>
          <w:p w14:paraId="5FFC49E9" w14:textId="77777777" w:rsidR="00066B74" w:rsidRPr="00FA4C8C" w:rsidRDefault="008F5F58" w:rsidP="0001557F">
            <w:pPr>
              <w:pStyle w:val="TableText"/>
            </w:pPr>
            <w:r w:rsidRPr="00FA4C8C">
              <w:t xml:space="preserve">Response received </w:t>
            </w:r>
            <w:r w:rsidR="00325BF7" w:rsidRPr="00FA4C8C">
              <w:t>01/12/21</w:t>
            </w:r>
          </w:p>
          <w:p w14:paraId="23F65546" w14:textId="64C4A964" w:rsidR="00325BF7" w:rsidRDefault="0028521F" w:rsidP="0001557F">
            <w:pPr>
              <w:pStyle w:val="TableText"/>
            </w:pPr>
            <w:r>
              <w:t>Strongly opposed to an OHL connection</w:t>
            </w:r>
            <w:r w:rsidR="00124BB4">
              <w:t xml:space="preserve"> and instead an underground cable should be used to connect Scoop Hill</w:t>
            </w:r>
            <w:r w:rsidR="003449FE">
              <w:t xml:space="preserve"> Community</w:t>
            </w:r>
            <w:r w:rsidR="00124BB4">
              <w:t xml:space="preserve"> </w:t>
            </w:r>
            <w:r w:rsidR="004920D2">
              <w:t xml:space="preserve">Wind Farm, as the community has been under the impression </w:t>
            </w:r>
            <w:r w:rsidR="00C7462E">
              <w:t>following</w:t>
            </w:r>
            <w:r w:rsidR="00637F15">
              <w:t xml:space="preserve"> the meetings the wind farm developer held in Boreland Village Hall </w:t>
            </w:r>
            <w:r w:rsidR="00C7462E">
              <w:t>on 19</w:t>
            </w:r>
            <w:r w:rsidR="00C7462E" w:rsidRPr="00C7462E">
              <w:rPr>
                <w:vertAlign w:val="superscript"/>
              </w:rPr>
              <w:t>th</w:t>
            </w:r>
            <w:r w:rsidR="00C7462E">
              <w:t xml:space="preserve"> February 2020 and Beattock Village Hall on 11</w:t>
            </w:r>
            <w:r w:rsidR="00C7462E" w:rsidRPr="00C7462E">
              <w:rPr>
                <w:vertAlign w:val="superscript"/>
              </w:rPr>
              <w:t>th</w:t>
            </w:r>
            <w:r w:rsidR="00C7462E">
              <w:t xml:space="preserve"> March </w:t>
            </w:r>
            <w:r w:rsidR="009C60D9">
              <w:t xml:space="preserve">2020 </w:t>
            </w:r>
            <w:r w:rsidR="00C7462E">
              <w:t xml:space="preserve">that the cabling would be underground. </w:t>
            </w:r>
          </w:p>
        </w:tc>
        <w:tc>
          <w:tcPr>
            <w:tcW w:w="5933" w:type="dxa"/>
            <w:shd w:val="clear" w:color="auto" w:fill="FFFFFF"/>
          </w:tcPr>
          <w:p w14:paraId="79136030" w14:textId="67A343DB" w:rsidR="000C2E3C" w:rsidRPr="00EA261A" w:rsidRDefault="00EA261A" w:rsidP="001E3858">
            <w:pPr>
              <w:pStyle w:val="TableText"/>
            </w:pPr>
            <w:r>
              <w:t xml:space="preserve">SPEN </w:t>
            </w:r>
            <w:r w:rsidRPr="00EA261A">
              <w:t xml:space="preserve">has a legal duty to develop and maintain </w:t>
            </w:r>
            <w:r w:rsidR="000C2E3C" w:rsidRPr="00960AEC">
              <w:rPr>
                <w:szCs w:val="22"/>
              </w:rPr>
              <w:t xml:space="preserve">an efficient, co-ordinated and economical system </w:t>
            </w:r>
            <w:r w:rsidR="000C2E3C">
              <w:rPr>
                <w:szCs w:val="22"/>
              </w:rPr>
              <w:t>of electricity transmission</w:t>
            </w:r>
            <w:r w:rsidRPr="00EA261A">
              <w:t xml:space="preserve">. As the transmission license holder for central and southern Scotland, SPEN is obliged to provide a connection for new customers wishing to connect in </w:t>
            </w:r>
            <w:r w:rsidR="001E3858">
              <w:t>its</w:t>
            </w:r>
            <w:r w:rsidRPr="00EA261A">
              <w:t xml:space="preserve"> area. In keeping with th</w:t>
            </w:r>
            <w:r w:rsidR="001E3858">
              <w:t>is</w:t>
            </w:r>
            <w:r w:rsidRPr="00EA261A">
              <w:t xml:space="preserve"> obligation, SPEN </w:t>
            </w:r>
            <w:r w:rsidR="001E3858">
              <w:t>requires to offer a connection which is technically feasible and efficient, economically viable and which balances effects on the environment and people.</w:t>
            </w:r>
            <w:r w:rsidR="009F4F5D">
              <w:t xml:space="preserve"> That</w:t>
            </w:r>
            <w:r w:rsidR="009F4F5D" w:rsidRPr="00EA261A">
              <w:t xml:space="preserve"> option</w:t>
            </w:r>
            <w:r w:rsidRPr="00EA261A">
              <w:t xml:space="preserve"> is generally</w:t>
            </w:r>
            <w:r w:rsidR="009F4F5D">
              <w:t xml:space="preserve"> an</w:t>
            </w:r>
            <w:r w:rsidRPr="00EA261A">
              <w:t xml:space="preserve"> </w:t>
            </w:r>
            <w:r w:rsidR="005551C0">
              <w:t xml:space="preserve">OHL </w:t>
            </w:r>
            <w:r w:rsidRPr="00EA261A">
              <w:t>at transmission voltages. As SPEN move</w:t>
            </w:r>
            <w:r w:rsidR="001E3858">
              <w:t>s</w:t>
            </w:r>
            <w:r w:rsidRPr="00EA261A">
              <w:t xml:space="preserve"> forward with a project, </w:t>
            </w:r>
            <w:r w:rsidR="001E3858">
              <w:t>it</w:t>
            </w:r>
            <w:r w:rsidRPr="00EA261A">
              <w:t xml:space="preserve"> continue</w:t>
            </w:r>
            <w:r w:rsidR="001E3858">
              <w:t>s</w:t>
            </w:r>
            <w:r w:rsidRPr="00EA261A">
              <w:t xml:space="preserve"> to balance technical and economic considerations alongside landscape, environmental and community considerations in order to develop proposals which achieve the best balance. </w:t>
            </w:r>
          </w:p>
          <w:p w14:paraId="3C32247D" w14:textId="71A5DDE6" w:rsidR="0073667D" w:rsidRPr="00A32C5F" w:rsidRDefault="00481726" w:rsidP="006A24AA">
            <w:pPr>
              <w:pStyle w:val="TableText"/>
              <w:rPr>
                <w:i/>
                <w:iCs/>
              </w:rPr>
            </w:pPr>
            <w:r>
              <w:t xml:space="preserve">In regards to Scoop Hill, the proposed connection is for two 132, 000 volt (132kV) </w:t>
            </w:r>
            <w:r w:rsidR="003870A9">
              <w:t>OHLs</w:t>
            </w:r>
            <w:r>
              <w:t xml:space="preserve"> on wooden poles between the wind</w:t>
            </w:r>
            <w:r w:rsidR="0095706C">
              <w:t xml:space="preserve"> </w:t>
            </w:r>
            <w:r>
              <w:t xml:space="preserve">farm substation at Scoop Hill and </w:t>
            </w:r>
            <w:r w:rsidR="005B204B">
              <w:t xml:space="preserve">Moffat </w:t>
            </w:r>
            <w:r>
              <w:t>substation</w:t>
            </w:r>
            <w:r w:rsidR="005B204B">
              <w:t>.</w:t>
            </w:r>
            <w:r w:rsidR="00360A40">
              <w:t xml:space="preserve"> </w:t>
            </w:r>
            <w:r>
              <w:t xml:space="preserve">SPEN remains confident that the solution being presented achieves the best balance of these </w:t>
            </w:r>
            <w:r w:rsidR="001E3858">
              <w:t>considerations</w:t>
            </w:r>
            <w:r>
              <w:t>.</w:t>
            </w:r>
          </w:p>
        </w:tc>
      </w:tr>
      <w:tr w:rsidR="00C7462E" w14:paraId="5C713172" w14:textId="77777777" w:rsidTr="00E06AD4">
        <w:trPr>
          <w:trHeight w:val="70"/>
        </w:trPr>
        <w:tc>
          <w:tcPr>
            <w:tcW w:w="2122" w:type="dxa"/>
            <w:shd w:val="clear" w:color="auto" w:fill="FFFFFF"/>
          </w:tcPr>
          <w:p w14:paraId="3119524B" w14:textId="1DB4FCDB" w:rsidR="00C7462E" w:rsidRDefault="00C7462E" w:rsidP="0001557F">
            <w:pPr>
              <w:pStyle w:val="TableText"/>
            </w:pPr>
            <w:r>
              <w:lastRenderedPageBreak/>
              <w:t xml:space="preserve">Climate Change </w:t>
            </w:r>
          </w:p>
        </w:tc>
        <w:tc>
          <w:tcPr>
            <w:tcW w:w="5811" w:type="dxa"/>
            <w:shd w:val="clear" w:color="auto" w:fill="FFFFFF"/>
          </w:tcPr>
          <w:p w14:paraId="2174FE77" w14:textId="5648902A" w:rsidR="00C134B8" w:rsidRDefault="00C134B8" w:rsidP="0001557F">
            <w:pPr>
              <w:pStyle w:val="TableText"/>
            </w:pPr>
            <w:r>
              <w:t>Response received 01/12/21</w:t>
            </w:r>
          </w:p>
          <w:p w14:paraId="3376C836" w14:textId="337EC5BF" w:rsidR="00C7462E" w:rsidRDefault="008B2368" w:rsidP="0001557F">
            <w:pPr>
              <w:pStyle w:val="TableText"/>
            </w:pPr>
            <w:r>
              <w:t xml:space="preserve">Raise concerns </w:t>
            </w:r>
            <w:r w:rsidR="002F0DCD">
              <w:t>about</w:t>
            </w:r>
            <w:r w:rsidR="002F3A55">
              <w:t xml:space="preserve"> climate change and the effects this could have on providing a reliable source of power to communities via an OHL. </w:t>
            </w:r>
            <w:r w:rsidR="006D587F">
              <w:t>Particularly, as storms are predicted to become more frequent</w:t>
            </w:r>
            <w:r w:rsidR="00EB58DB">
              <w:t>,</w:t>
            </w:r>
            <w:r w:rsidR="006D587F">
              <w:t xml:space="preserve"> caus</w:t>
            </w:r>
            <w:r w:rsidR="00EB58DB">
              <w:t>ing</w:t>
            </w:r>
            <w:r w:rsidR="006D587F">
              <w:t xml:space="preserve"> power cuts. </w:t>
            </w:r>
          </w:p>
        </w:tc>
        <w:tc>
          <w:tcPr>
            <w:tcW w:w="5933" w:type="dxa"/>
            <w:shd w:val="clear" w:color="auto" w:fill="FFFFFF"/>
          </w:tcPr>
          <w:p w14:paraId="6EEB8599" w14:textId="09BA1E06" w:rsidR="00C7462E" w:rsidRDefault="007D6886" w:rsidP="0001557F">
            <w:pPr>
              <w:pStyle w:val="TableText"/>
            </w:pPr>
            <w:r>
              <w:t xml:space="preserve">See response to </w:t>
            </w:r>
            <w:r w:rsidR="00FA4C8C">
              <w:t>KJCC</w:t>
            </w:r>
            <w:r>
              <w:t xml:space="preserve"> in </w:t>
            </w:r>
            <w:r w:rsidRPr="007D6886">
              <w:rPr>
                <w:b/>
                <w:bCs/>
              </w:rPr>
              <w:t>Table 1.1</w:t>
            </w:r>
            <w:r w:rsidR="00FA4C8C">
              <w:rPr>
                <w:b/>
                <w:bCs/>
              </w:rPr>
              <w:t xml:space="preserve"> </w:t>
            </w:r>
            <w:r w:rsidR="00FA4C8C" w:rsidRPr="00FA4C8C">
              <w:t>on this matter</w:t>
            </w:r>
            <w:r>
              <w:t>.</w:t>
            </w:r>
          </w:p>
        </w:tc>
      </w:tr>
      <w:tr w:rsidR="00E06AD4" w14:paraId="696CC601" w14:textId="77777777" w:rsidTr="007412F7">
        <w:trPr>
          <w:trHeight w:val="585"/>
        </w:trPr>
        <w:tc>
          <w:tcPr>
            <w:tcW w:w="2122" w:type="dxa"/>
            <w:vMerge w:val="restart"/>
            <w:shd w:val="clear" w:color="auto" w:fill="FFFFFF"/>
          </w:tcPr>
          <w:p w14:paraId="303F8D65" w14:textId="7377309A" w:rsidR="00E06AD4" w:rsidRDefault="00E06AD4" w:rsidP="0001557F">
            <w:pPr>
              <w:pStyle w:val="TableText"/>
            </w:pPr>
            <w:r>
              <w:t xml:space="preserve">Route Options </w:t>
            </w:r>
          </w:p>
        </w:tc>
        <w:tc>
          <w:tcPr>
            <w:tcW w:w="5811" w:type="dxa"/>
            <w:shd w:val="clear" w:color="auto" w:fill="FFFFFF"/>
          </w:tcPr>
          <w:p w14:paraId="11202845" w14:textId="4A8E4386" w:rsidR="00E06AD4" w:rsidRDefault="00E06AD4" w:rsidP="007412F7">
            <w:pPr>
              <w:pStyle w:val="TableText"/>
            </w:pPr>
            <w:r>
              <w:t xml:space="preserve">Two respondents highlighted that this was the best route and it looked to be reasonable and low impact. </w:t>
            </w:r>
          </w:p>
        </w:tc>
        <w:tc>
          <w:tcPr>
            <w:tcW w:w="5933" w:type="dxa"/>
            <w:shd w:val="clear" w:color="auto" w:fill="FFFFFF"/>
          </w:tcPr>
          <w:p w14:paraId="3905A6C1" w14:textId="77777777" w:rsidR="00E06AD4" w:rsidRDefault="003D14E6" w:rsidP="0001557F">
            <w:pPr>
              <w:pStyle w:val="TableText"/>
            </w:pPr>
            <w:r>
              <w:t xml:space="preserve">Comments on Preferred Route Option 3 noted. </w:t>
            </w:r>
          </w:p>
          <w:p w14:paraId="19B5AAF9" w14:textId="0B5368AF" w:rsidR="005A128D" w:rsidRDefault="005A128D" w:rsidP="0001557F">
            <w:pPr>
              <w:pStyle w:val="TableText"/>
            </w:pPr>
          </w:p>
        </w:tc>
      </w:tr>
      <w:tr w:rsidR="00E06AD4" w14:paraId="554A063C" w14:textId="77777777" w:rsidTr="00E06AD4">
        <w:trPr>
          <w:trHeight w:val="846"/>
        </w:trPr>
        <w:tc>
          <w:tcPr>
            <w:tcW w:w="2122" w:type="dxa"/>
            <w:vMerge/>
            <w:shd w:val="clear" w:color="auto" w:fill="FFFFFF"/>
          </w:tcPr>
          <w:p w14:paraId="52230CD8" w14:textId="77777777" w:rsidR="00E06AD4" w:rsidRDefault="00E06AD4" w:rsidP="0001557F">
            <w:pPr>
              <w:pStyle w:val="TableText"/>
            </w:pPr>
          </w:p>
        </w:tc>
        <w:tc>
          <w:tcPr>
            <w:tcW w:w="5811" w:type="dxa"/>
            <w:shd w:val="clear" w:color="auto" w:fill="FFFFFF"/>
          </w:tcPr>
          <w:p w14:paraId="25B09DAD" w14:textId="47125551" w:rsidR="00E06AD4" w:rsidRDefault="00E06AD4" w:rsidP="0001557F">
            <w:pPr>
              <w:pStyle w:val="TableText"/>
            </w:pPr>
            <w:r w:rsidRPr="00E06AD4">
              <w:t xml:space="preserve">Two respondents stated they did not agree with any of the proposed route options, with one stating the connection should be undergrounded as originally planned. </w:t>
            </w:r>
          </w:p>
        </w:tc>
        <w:tc>
          <w:tcPr>
            <w:tcW w:w="5933" w:type="dxa"/>
            <w:shd w:val="clear" w:color="auto" w:fill="FFFFFF"/>
          </w:tcPr>
          <w:p w14:paraId="19E3BBDF" w14:textId="14C4F1DD" w:rsidR="007412F7" w:rsidRDefault="007412F7" w:rsidP="007412F7">
            <w:pPr>
              <w:pStyle w:val="TableText"/>
            </w:pPr>
            <w:r w:rsidRPr="00E6167D">
              <w:t xml:space="preserve">See response </w:t>
            </w:r>
            <w:r w:rsidR="003C58B4">
              <w:t>above</w:t>
            </w:r>
            <w:r w:rsidRPr="00E6167D">
              <w:t xml:space="preserve"> </w:t>
            </w:r>
            <w:r>
              <w:t xml:space="preserve">in relation to undergrounding. </w:t>
            </w:r>
          </w:p>
          <w:p w14:paraId="039DBC36" w14:textId="0F3D201F" w:rsidR="00E06AD4" w:rsidRDefault="007412F7" w:rsidP="007412F7">
            <w:pPr>
              <w:pStyle w:val="TableText"/>
            </w:pPr>
            <w:r>
              <w:t xml:space="preserve">The five route options identified during the routeing process has provided an adequate set of alternatives to appraise and demonstrate that a reasonable number of route options have been considered.  Given the environmental and technical constraints shown within the study area in </w:t>
            </w:r>
            <w:r w:rsidRPr="00BA443B">
              <w:rPr>
                <w:b/>
                <w:bCs/>
              </w:rPr>
              <w:t>Figure 4.2</w:t>
            </w:r>
            <w:r w:rsidR="00961906">
              <w:rPr>
                <w:b/>
                <w:bCs/>
              </w:rPr>
              <w:t>: Routeing Considerations</w:t>
            </w:r>
            <w:r>
              <w:t xml:space="preserve"> of the Routeing and Consultation Report, including slope, residential properties, forestry and the Moffat Hills RSA, five route options are realistically the most options that are possible within such a small study area, and these have all been appraised in the Routeing and Consultation Report in a clear and documented way.</w:t>
            </w:r>
          </w:p>
        </w:tc>
      </w:tr>
      <w:tr w:rsidR="00E06AD4" w14:paraId="61A98005" w14:textId="77777777" w:rsidTr="0001557F">
        <w:tc>
          <w:tcPr>
            <w:tcW w:w="2122" w:type="dxa"/>
            <w:vMerge w:val="restart"/>
            <w:shd w:val="clear" w:color="auto" w:fill="FFFFFF"/>
          </w:tcPr>
          <w:p w14:paraId="7BFDFEEF" w14:textId="496300FE" w:rsidR="00E06AD4" w:rsidRDefault="00E06AD4" w:rsidP="0001557F">
            <w:pPr>
              <w:pStyle w:val="TableText"/>
            </w:pPr>
            <w:r>
              <w:t>Landscape and Visual</w:t>
            </w:r>
          </w:p>
        </w:tc>
        <w:tc>
          <w:tcPr>
            <w:tcW w:w="5811" w:type="dxa"/>
            <w:shd w:val="clear" w:color="auto" w:fill="FFFFFF"/>
          </w:tcPr>
          <w:p w14:paraId="5A2A172D" w14:textId="683A6651" w:rsidR="00E06AD4" w:rsidRDefault="00E06AD4" w:rsidP="00E06AD4">
            <w:pPr>
              <w:pStyle w:val="TableText"/>
            </w:pPr>
            <w:r w:rsidRPr="008D68CC">
              <w:t xml:space="preserve">One </w:t>
            </w:r>
            <w:r>
              <w:t xml:space="preserve">respondent is strongly </w:t>
            </w:r>
            <w:r w:rsidRPr="008D68CC">
              <w:t xml:space="preserve">opposed to any above ground route due to visual impacts the area is already experiencing and noted the connection should revert to the original plan for an underground connection to be made. </w:t>
            </w:r>
          </w:p>
        </w:tc>
        <w:tc>
          <w:tcPr>
            <w:tcW w:w="5933" w:type="dxa"/>
            <w:shd w:val="clear" w:color="auto" w:fill="FFFFFF"/>
          </w:tcPr>
          <w:p w14:paraId="3B551568" w14:textId="3542E9CF" w:rsidR="008A3497" w:rsidRDefault="008A3497" w:rsidP="008A3497">
            <w:pPr>
              <w:pStyle w:val="TableText"/>
            </w:pPr>
            <w:r>
              <w:t xml:space="preserve">See response </w:t>
            </w:r>
            <w:r w:rsidR="003C58B4">
              <w:t>above in relation</w:t>
            </w:r>
            <w:r>
              <w:rPr>
                <w:b/>
                <w:bCs/>
              </w:rPr>
              <w:t xml:space="preserve"> </w:t>
            </w:r>
            <w:r w:rsidR="003C58B4">
              <w:t>to</w:t>
            </w:r>
            <w:r w:rsidRPr="00D33B7D">
              <w:t xml:space="preserve"> </w:t>
            </w:r>
            <w:r w:rsidR="00C90F34">
              <w:t>undergrounding</w:t>
            </w:r>
            <w:r>
              <w:t>.</w:t>
            </w:r>
          </w:p>
          <w:p w14:paraId="1BC7F909" w14:textId="4E1811F5" w:rsidR="00E06AD4" w:rsidRDefault="008A3497" w:rsidP="0001557F">
            <w:pPr>
              <w:pStyle w:val="TableText"/>
            </w:pPr>
            <w:r w:rsidRPr="008A3497">
              <w:t>Landscape and visual issues have been taken into consideration in the selection of Route Option 3. This route will avoid the highest ground in the eastern and northern part of the study area thus reducing visibility from settlements along the M74 corridor, including Beattock. The route also avoids the Moffat Hills Regional Scenic Area (RSA) and does not route west of properties within the study area which have principal open views towards the River Annan. The detailed design of the OHLs, including positioning of poles</w:t>
            </w:r>
            <w:r w:rsidR="00D946E4">
              <w:t>,</w:t>
            </w:r>
            <w:r w:rsidRPr="008A3497">
              <w:t xml:space="preserve"> will continue to reflect the need to minimise landscape and visual issues, and this will continue to remain as a key design consideration as the project develops.</w:t>
            </w:r>
          </w:p>
        </w:tc>
      </w:tr>
      <w:tr w:rsidR="00E06AD4" w14:paraId="75CEF2E9" w14:textId="77777777" w:rsidTr="0001557F">
        <w:tc>
          <w:tcPr>
            <w:tcW w:w="2122" w:type="dxa"/>
            <w:vMerge/>
            <w:shd w:val="clear" w:color="auto" w:fill="FFFFFF"/>
          </w:tcPr>
          <w:p w14:paraId="03DFA6B7" w14:textId="77777777" w:rsidR="00E06AD4" w:rsidRDefault="00E06AD4" w:rsidP="0001557F">
            <w:pPr>
              <w:pStyle w:val="TableText"/>
            </w:pPr>
          </w:p>
        </w:tc>
        <w:tc>
          <w:tcPr>
            <w:tcW w:w="5811" w:type="dxa"/>
            <w:shd w:val="clear" w:color="auto" w:fill="FFFFFF"/>
          </w:tcPr>
          <w:p w14:paraId="360B77C6" w14:textId="488DC96F" w:rsidR="00E06AD4" w:rsidRPr="008D68CC" w:rsidRDefault="00E06AD4" w:rsidP="008D68CC">
            <w:pPr>
              <w:pStyle w:val="TableText"/>
            </w:pPr>
            <w:r w:rsidRPr="00E06AD4">
              <w:t>One respondent raised concerns about the proximity of the proposed development to their property. The respondent comments that the proposed development could have detrimental visual effects on the view they would experience from their property.</w:t>
            </w:r>
          </w:p>
        </w:tc>
        <w:tc>
          <w:tcPr>
            <w:tcW w:w="5933" w:type="dxa"/>
            <w:shd w:val="clear" w:color="auto" w:fill="FFFFFF"/>
          </w:tcPr>
          <w:p w14:paraId="70FEB0BB" w14:textId="7376A2D5" w:rsidR="00E06AD4" w:rsidRDefault="00697663" w:rsidP="00A86BB5">
            <w:pPr>
              <w:pStyle w:val="TableText"/>
            </w:pPr>
            <w:r w:rsidRPr="00697663">
              <w:t xml:space="preserve">All residential properties within the study area have been avoided by at least 150m </w:t>
            </w:r>
            <w:r w:rsidR="00886F55">
              <w:t>in</w:t>
            </w:r>
            <w:r w:rsidRPr="00697663">
              <w:t xml:space="preserve"> all route options</w:t>
            </w:r>
            <w:r w:rsidR="008B009B">
              <w:t xml:space="preserve"> – see </w:t>
            </w:r>
            <w:r w:rsidR="008B009B" w:rsidRPr="00BE63D5">
              <w:rPr>
                <w:b/>
                <w:bCs/>
              </w:rPr>
              <w:t>Figure</w:t>
            </w:r>
            <w:r w:rsidR="00A86BB5" w:rsidRPr="00BE63D5">
              <w:rPr>
                <w:b/>
                <w:bCs/>
              </w:rPr>
              <w:t xml:space="preserve"> 5.1a: Landscape Designations, NatureScot National Landscape Character Types and Visual Receptors</w:t>
            </w:r>
            <w:r w:rsidR="00396B58">
              <w:rPr>
                <w:b/>
                <w:bCs/>
              </w:rPr>
              <w:t xml:space="preserve"> </w:t>
            </w:r>
            <w:r w:rsidR="00396B58" w:rsidRPr="00396B58">
              <w:t xml:space="preserve">and </w:t>
            </w:r>
            <w:r w:rsidR="00396B58">
              <w:rPr>
                <w:b/>
                <w:bCs/>
              </w:rPr>
              <w:t>Appendix B: Appraisal of Route Options</w:t>
            </w:r>
            <w:r w:rsidR="00BE63D5">
              <w:rPr>
                <w:b/>
                <w:bCs/>
              </w:rPr>
              <w:t xml:space="preserve"> </w:t>
            </w:r>
            <w:r w:rsidR="00BE63D5">
              <w:t>of the Routeing and Consultation Report</w:t>
            </w:r>
            <w:r w:rsidRPr="00697663">
              <w:t xml:space="preserve">. It should be noted that the route options are considered to be more representative of 'corridors' within which </w:t>
            </w:r>
            <w:r w:rsidR="00E5610B">
              <w:t>the OHLs</w:t>
            </w:r>
            <w:r w:rsidRPr="00697663">
              <w:t xml:space="preserve"> would be located</w:t>
            </w:r>
            <w:r w:rsidR="005E0088">
              <w:t xml:space="preserve"> i.e. the OHL routes will not be the full extent of the </w:t>
            </w:r>
            <w:r w:rsidR="00E5610B">
              <w:t xml:space="preserve">orange </w:t>
            </w:r>
            <w:r w:rsidR="005E0088">
              <w:t>corridors shown</w:t>
            </w:r>
            <w:r w:rsidRPr="00697663">
              <w:t xml:space="preserve">. Proximity to residential properties and minimising visual effects from principal property views </w:t>
            </w:r>
            <w:r w:rsidRPr="00697663">
              <w:lastRenderedPageBreak/>
              <w:t>through the careful positioning of infrastructure will continue to be a key design consideration as the project develops.</w:t>
            </w:r>
          </w:p>
        </w:tc>
      </w:tr>
      <w:tr w:rsidR="001C4876" w14:paraId="75D5C985" w14:textId="77777777" w:rsidTr="0001557F">
        <w:tc>
          <w:tcPr>
            <w:tcW w:w="2122" w:type="dxa"/>
            <w:shd w:val="clear" w:color="auto" w:fill="FFFFFF"/>
          </w:tcPr>
          <w:p w14:paraId="2FFB7891" w14:textId="10B74B39" w:rsidR="001C4876" w:rsidRDefault="001C4876" w:rsidP="0001557F">
            <w:pPr>
              <w:pStyle w:val="TableText"/>
            </w:pPr>
            <w:r>
              <w:lastRenderedPageBreak/>
              <w:t xml:space="preserve">Cultural Heritage </w:t>
            </w:r>
          </w:p>
        </w:tc>
        <w:tc>
          <w:tcPr>
            <w:tcW w:w="5811" w:type="dxa"/>
            <w:shd w:val="clear" w:color="auto" w:fill="FFFFFF"/>
          </w:tcPr>
          <w:p w14:paraId="5D4D1A02" w14:textId="20FEC177" w:rsidR="001C4876" w:rsidRDefault="00B4320A" w:rsidP="0001557F">
            <w:pPr>
              <w:pStyle w:val="TableText"/>
            </w:pPr>
            <w:r>
              <w:t xml:space="preserve">Consideration for the archaeology in the area should be </w:t>
            </w:r>
            <w:r w:rsidR="00E24F08">
              <w:t xml:space="preserve">taken into account. </w:t>
            </w:r>
            <w:r w:rsidR="00DA2EAC">
              <w:t xml:space="preserve"> </w:t>
            </w:r>
            <w:r w:rsidR="00F72481">
              <w:t xml:space="preserve"> </w:t>
            </w:r>
          </w:p>
        </w:tc>
        <w:tc>
          <w:tcPr>
            <w:tcW w:w="5933" w:type="dxa"/>
            <w:shd w:val="clear" w:color="auto" w:fill="FFFFFF"/>
          </w:tcPr>
          <w:p w14:paraId="71EB9591" w14:textId="01D2A573" w:rsidR="001C4876" w:rsidRDefault="0008060B" w:rsidP="0001557F">
            <w:pPr>
              <w:pStyle w:val="TableText"/>
            </w:pPr>
            <w:r>
              <w:t>Known cultural heritage features ha</w:t>
            </w:r>
            <w:r w:rsidR="00152F4F">
              <w:t>ve</w:t>
            </w:r>
            <w:r>
              <w:t xml:space="preserve"> already been considered in the appraisal of route options and mapped</w:t>
            </w:r>
            <w:r w:rsidR="00427DBC">
              <w:t xml:space="preserve"> as routeing consideration</w:t>
            </w:r>
            <w:r w:rsidR="00152F4F">
              <w:t>s</w:t>
            </w:r>
            <w:r w:rsidR="002F7F6E">
              <w:t xml:space="preserve"> – see </w:t>
            </w:r>
            <w:r w:rsidR="002F7F6E" w:rsidRPr="002F7F6E">
              <w:rPr>
                <w:b/>
                <w:bCs/>
              </w:rPr>
              <w:t>Figure 5.4: Cultural Heritage</w:t>
            </w:r>
            <w:r w:rsidR="002F7F6E">
              <w:t xml:space="preserve"> of the Routeing and Consultation Report</w:t>
            </w:r>
            <w:r w:rsidR="00504CAF">
              <w:t xml:space="preserve"> and </w:t>
            </w:r>
            <w:r w:rsidR="00504CAF" w:rsidRPr="00504CAF">
              <w:rPr>
                <w:b/>
                <w:bCs/>
              </w:rPr>
              <w:t>Appendix B</w:t>
            </w:r>
            <w:r w:rsidR="002F7F6E">
              <w:t xml:space="preserve">. </w:t>
            </w:r>
            <w:r w:rsidR="00DC24D0">
              <w:t>The</w:t>
            </w:r>
            <w:r w:rsidR="00E63B96">
              <w:t xml:space="preserve"> route options</w:t>
            </w:r>
            <w:r w:rsidR="00DC24D0">
              <w:t xml:space="preserve"> appraisal has found that Route Option 3 will affect the least cultural heritage assets</w:t>
            </w:r>
            <w:r w:rsidR="00103961">
              <w:t>, and potentially result in the least setting change. A detailed site walkover survey of the</w:t>
            </w:r>
            <w:r w:rsidR="00B97A80">
              <w:t xml:space="preserve"> proposed</w:t>
            </w:r>
            <w:r w:rsidR="00103961">
              <w:t xml:space="preserve"> OHL routes will be undertaken</w:t>
            </w:r>
            <w:r w:rsidR="001E6211">
              <w:t xml:space="preserve">, and an assessment of effects on cultural heritage will be </w:t>
            </w:r>
            <w:r w:rsidR="00B6751A">
              <w:t>included in the</w:t>
            </w:r>
            <w:r w:rsidR="001E6211">
              <w:t xml:space="preserve"> Environmental Appraisal to accompany the Section 37 application</w:t>
            </w:r>
            <w:r w:rsidR="00B237B2">
              <w:t>. Avoidance of cultural heritage assets</w:t>
            </w:r>
            <w:r w:rsidR="00152F4F">
              <w:t>,</w:t>
            </w:r>
            <w:r w:rsidR="00631A0C">
              <w:t xml:space="preserve"> and minimising both direct and indirect </w:t>
            </w:r>
            <w:r w:rsidR="00152F4F">
              <w:t>effects,</w:t>
            </w:r>
            <w:r w:rsidR="00B237B2">
              <w:t xml:space="preserve"> will continue to be a key design consideration going forward.</w:t>
            </w:r>
            <w:r w:rsidR="00103961">
              <w:t xml:space="preserve"> </w:t>
            </w:r>
          </w:p>
        </w:tc>
      </w:tr>
      <w:tr w:rsidR="00E06AD4" w14:paraId="2802EE46" w14:textId="77777777" w:rsidTr="0001557F">
        <w:tc>
          <w:tcPr>
            <w:tcW w:w="2122" w:type="dxa"/>
            <w:vMerge w:val="restart"/>
            <w:shd w:val="clear" w:color="auto" w:fill="FFFFFF"/>
          </w:tcPr>
          <w:p w14:paraId="231B96D5" w14:textId="4D477CE2" w:rsidR="00E06AD4" w:rsidRDefault="00E06AD4" w:rsidP="0001557F">
            <w:pPr>
              <w:pStyle w:val="TableText"/>
            </w:pPr>
            <w:r>
              <w:t xml:space="preserve">Information </w:t>
            </w:r>
          </w:p>
        </w:tc>
        <w:tc>
          <w:tcPr>
            <w:tcW w:w="5811" w:type="dxa"/>
            <w:shd w:val="clear" w:color="auto" w:fill="FFFFFF"/>
          </w:tcPr>
          <w:p w14:paraId="74763AC0" w14:textId="275EB216" w:rsidR="00E06AD4" w:rsidRDefault="00E06AD4" w:rsidP="00E4372B">
            <w:pPr>
              <w:pStyle w:val="TableText"/>
            </w:pPr>
            <w:r>
              <w:t xml:space="preserve">Two respondents stated that information on the alternative route options was not easy to locate, with one respondent noting that a better explanation of this was required. </w:t>
            </w:r>
          </w:p>
        </w:tc>
        <w:tc>
          <w:tcPr>
            <w:tcW w:w="5933" w:type="dxa"/>
            <w:shd w:val="clear" w:color="auto" w:fill="FFFFFF"/>
          </w:tcPr>
          <w:p w14:paraId="76B8BBA0" w14:textId="233A6B6B" w:rsidR="00E06AD4" w:rsidRDefault="00AC2CDC" w:rsidP="0001557F">
            <w:pPr>
              <w:pStyle w:val="TableText"/>
            </w:pPr>
            <w:r>
              <w:t xml:space="preserve">All information on alternative route options </w:t>
            </w:r>
            <w:r w:rsidR="0070208A">
              <w:t>is</w:t>
            </w:r>
            <w:r>
              <w:t xml:space="preserve"> provided in </w:t>
            </w:r>
            <w:r w:rsidR="0070208A" w:rsidRPr="00417B04">
              <w:rPr>
                <w:b/>
                <w:bCs/>
              </w:rPr>
              <w:t>Chapter 4: Identification of Route Option</w:t>
            </w:r>
            <w:r w:rsidR="002D7055" w:rsidRPr="00417B04">
              <w:rPr>
                <w:b/>
                <w:bCs/>
              </w:rPr>
              <w:t>s</w:t>
            </w:r>
            <w:r w:rsidR="002D7055">
              <w:t xml:space="preserve">, </w:t>
            </w:r>
            <w:r w:rsidR="002D7055" w:rsidRPr="00417B04">
              <w:rPr>
                <w:b/>
                <w:bCs/>
              </w:rPr>
              <w:t>Figure 4.3</w:t>
            </w:r>
            <w:r w:rsidR="00CC0087">
              <w:rPr>
                <w:b/>
                <w:bCs/>
              </w:rPr>
              <w:t>: Overviews of Route Options 1-5</w:t>
            </w:r>
            <w:r w:rsidR="00D216A9">
              <w:t xml:space="preserve"> and</w:t>
            </w:r>
            <w:r w:rsidR="002D7055">
              <w:t xml:space="preserve"> </w:t>
            </w:r>
            <w:r w:rsidR="002D7055" w:rsidRPr="00417B04">
              <w:rPr>
                <w:b/>
                <w:bCs/>
              </w:rPr>
              <w:t>Figures 4.3a-e</w:t>
            </w:r>
            <w:r w:rsidR="00D216A9">
              <w:rPr>
                <w:b/>
                <w:bCs/>
              </w:rPr>
              <w:t xml:space="preserve"> </w:t>
            </w:r>
            <w:r w:rsidR="00D216A9" w:rsidRPr="00D216A9">
              <w:t>of the Routeing and Consultation Report</w:t>
            </w:r>
            <w:r w:rsidR="00BE49A9">
              <w:t xml:space="preserve">. The comparative appraisal of all route options is provided in </w:t>
            </w:r>
            <w:r w:rsidR="00D216A9" w:rsidRPr="000D708F">
              <w:rPr>
                <w:b/>
                <w:bCs/>
              </w:rPr>
              <w:t>Appendix B</w:t>
            </w:r>
            <w:r w:rsidR="00856E97">
              <w:rPr>
                <w:b/>
                <w:bCs/>
              </w:rPr>
              <w:t xml:space="preserve"> </w:t>
            </w:r>
            <w:r w:rsidR="000D708F">
              <w:t xml:space="preserve">of the Routeing and Consultation Report. </w:t>
            </w:r>
          </w:p>
        </w:tc>
      </w:tr>
      <w:tr w:rsidR="00E06AD4" w14:paraId="5EC38450" w14:textId="77777777" w:rsidTr="0001557F">
        <w:tc>
          <w:tcPr>
            <w:tcW w:w="2122" w:type="dxa"/>
            <w:vMerge/>
            <w:shd w:val="clear" w:color="auto" w:fill="FFFFFF"/>
          </w:tcPr>
          <w:p w14:paraId="765A9B71" w14:textId="77777777" w:rsidR="00E06AD4" w:rsidRDefault="00E06AD4" w:rsidP="0001557F">
            <w:pPr>
              <w:pStyle w:val="TableText"/>
            </w:pPr>
          </w:p>
        </w:tc>
        <w:tc>
          <w:tcPr>
            <w:tcW w:w="5811" w:type="dxa"/>
            <w:shd w:val="clear" w:color="auto" w:fill="FFFFFF"/>
          </w:tcPr>
          <w:p w14:paraId="0D0A2B4D" w14:textId="46EEE297" w:rsidR="00E06AD4" w:rsidRDefault="00E06AD4" w:rsidP="0001557F">
            <w:pPr>
              <w:pStyle w:val="TableText"/>
            </w:pPr>
            <w:r w:rsidRPr="00E06AD4">
              <w:t xml:space="preserve">One respondent stated that no direct information had been provided to them despite how close their property is to the connection. </w:t>
            </w:r>
          </w:p>
        </w:tc>
        <w:tc>
          <w:tcPr>
            <w:tcW w:w="5933" w:type="dxa"/>
            <w:shd w:val="clear" w:color="auto" w:fill="FFFFFF"/>
          </w:tcPr>
          <w:p w14:paraId="5A2BD627" w14:textId="6D82C397" w:rsidR="00E06AD4" w:rsidRDefault="000F48C3" w:rsidP="0001557F">
            <w:pPr>
              <w:pStyle w:val="TableText"/>
            </w:pPr>
            <w:r>
              <w:t>All properties within the study area</w:t>
            </w:r>
            <w:r w:rsidR="00F10708">
              <w:t xml:space="preserve"> i.e. the area within which all five route options were proposed</w:t>
            </w:r>
            <w:r>
              <w:t xml:space="preserve"> were issued with an information leaflet prior to the </w:t>
            </w:r>
            <w:r w:rsidR="0006361B">
              <w:t>public consultation going live on 25</w:t>
            </w:r>
            <w:r w:rsidR="0006361B" w:rsidRPr="0006361B">
              <w:rPr>
                <w:vertAlign w:val="superscript"/>
              </w:rPr>
              <w:t>th</w:t>
            </w:r>
            <w:r w:rsidR="0006361B">
              <w:t xml:space="preserve"> October 2021</w:t>
            </w:r>
            <w:r w:rsidR="002E6596">
              <w:t xml:space="preserve"> (see </w:t>
            </w:r>
            <w:r w:rsidR="002E6596" w:rsidRPr="004E003E">
              <w:rPr>
                <w:b/>
                <w:bCs/>
              </w:rPr>
              <w:t>Figure A1.1</w:t>
            </w:r>
            <w:r w:rsidR="004E003E">
              <w:t>)</w:t>
            </w:r>
            <w:r w:rsidR="0006361B">
              <w:t>.</w:t>
            </w:r>
            <w:r w:rsidR="000849A7">
              <w:t xml:space="preserve"> Further details</w:t>
            </w:r>
            <w:r w:rsidR="00D84267">
              <w:t xml:space="preserve"> on the</w:t>
            </w:r>
            <w:r w:rsidR="00EF4575">
              <w:t xml:space="preserve"> other means by which the consultation was advertised can be found in Chapter </w:t>
            </w:r>
            <w:r w:rsidR="00721D2E">
              <w:t>2</w:t>
            </w:r>
            <w:r w:rsidR="00EF4575">
              <w:t xml:space="preserve"> of the</w:t>
            </w:r>
            <w:r w:rsidR="003701C4">
              <w:t xml:space="preserve"> Scoop Hill 132kV Connection Project </w:t>
            </w:r>
            <w:r w:rsidR="00A450EB">
              <w:t xml:space="preserve">Summary of Feedback from the </w:t>
            </w:r>
            <w:r w:rsidR="003701C4">
              <w:t>Pre-Application Consultation Report</w:t>
            </w:r>
            <w:r w:rsidR="003C7924">
              <w:t>, and a</w:t>
            </w:r>
            <w:r w:rsidR="00663FD2">
              <w:t xml:space="preserve">ll information on the project can be found at: </w:t>
            </w:r>
            <w:hyperlink r:id="rId14" w:history="1">
              <w:r w:rsidR="00AC2CDC" w:rsidRPr="00053EB6">
                <w:rPr>
                  <w:rStyle w:val="Hyperlink"/>
                </w:rPr>
                <w:t>https://www.spenergynetworks.co.uk/pages/scoop_hill.aspx</w:t>
              </w:r>
            </w:hyperlink>
            <w:r w:rsidR="00856E97">
              <w:t xml:space="preserve">. </w:t>
            </w:r>
          </w:p>
        </w:tc>
      </w:tr>
      <w:tr w:rsidR="00246419" w14:paraId="5D91FAD8" w14:textId="77777777" w:rsidTr="0001557F">
        <w:tc>
          <w:tcPr>
            <w:tcW w:w="2122" w:type="dxa"/>
            <w:shd w:val="clear" w:color="auto" w:fill="FFFFFF"/>
          </w:tcPr>
          <w:p w14:paraId="2E5DE14E" w14:textId="5C50B6D0" w:rsidR="00246419" w:rsidRDefault="006D14EE" w:rsidP="0001557F">
            <w:pPr>
              <w:pStyle w:val="TableText"/>
            </w:pPr>
            <w:r>
              <w:t xml:space="preserve">General </w:t>
            </w:r>
          </w:p>
        </w:tc>
        <w:tc>
          <w:tcPr>
            <w:tcW w:w="5811" w:type="dxa"/>
            <w:shd w:val="clear" w:color="auto" w:fill="FFFFFF"/>
          </w:tcPr>
          <w:p w14:paraId="62994141" w14:textId="056F6B7A" w:rsidR="00246419" w:rsidRDefault="00246419" w:rsidP="0001557F">
            <w:pPr>
              <w:pStyle w:val="TableText"/>
            </w:pPr>
            <w:r w:rsidRPr="00246419">
              <w:t xml:space="preserve">One </w:t>
            </w:r>
            <w:r w:rsidR="00A14805">
              <w:t>respondent</w:t>
            </w:r>
            <w:r w:rsidRPr="00246419">
              <w:t xml:space="preserve"> opposed the Scoop Hill Community Wind Farm. </w:t>
            </w:r>
          </w:p>
        </w:tc>
        <w:tc>
          <w:tcPr>
            <w:tcW w:w="5933" w:type="dxa"/>
            <w:shd w:val="clear" w:color="auto" w:fill="FFFFFF"/>
          </w:tcPr>
          <w:p w14:paraId="2C69453D" w14:textId="25225186" w:rsidR="00246419" w:rsidRDefault="00473C11" w:rsidP="0001557F">
            <w:pPr>
              <w:pStyle w:val="TableText"/>
            </w:pPr>
            <w:r w:rsidRPr="00473C11">
              <w:t>Scoop Hill Community Wind Farm is not part of this project</w:t>
            </w:r>
            <w:r w:rsidR="00E406B4">
              <w:t xml:space="preserve"> and the application by Community Wind Power is currently being considered by the Scottish Ministers via the S</w:t>
            </w:r>
            <w:r w:rsidR="00886F55">
              <w:t xml:space="preserve">ection </w:t>
            </w:r>
            <w:r w:rsidR="00E406B4">
              <w:t xml:space="preserve">36 </w:t>
            </w:r>
            <w:r w:rsidR="00886F55">
              <w:t xml:space="preserve">consent </w:t>
            </w:r>
            <w:r w:rsidR="00E406B4">
              <w:t>application process.</w:t>
            </w:r>
          </w:p>
        </w:tc>
      </w:tr>
    </w:tbl>
    <w:p w14:paraId="720886FE" w14:textId="3FDC4AEF" w:rsidR="0001557F" w:rsidRDefault="0001557F" w:rsidP="00953855"/>
    <w:p w14:paraId="013393DC" w14:textId="32BC1B04" w:rsidR="008D75E6" w:rsidRPr="008D75E6" w:rsidRDefault="008D75E6" w:rsidP="008D75E6"/>
    <w:p w14:paraId="756535DA" w14:textId="46CFE9E3" w:rsidR="008D75E6" w:rsidRPr="008D75E6" w:rsidRDefault="008D75E6" w:rsidP="008D75E6"/>
    <w:p w14:paraId="314C8B19" w14:textId="60810B8E" w:rsidR="008D75E6" w:rsidRPr="008D75E6" w:rsidRDefault="008D75E6" w:rsidP="008D75E6"/>
    <w:p w14:paraId="51A53FBF" w14:textId="4B8B5136" w:rsidR="008D75E6" w:rsidRPr="008D75E6" w:rsidRDefault="008D75E6" w:rsidP="008D75E6"/>
    <w:p w14:paraId="3AB761C1" w14:textId="77777777" w:rsidR="008D75E6" w:rsidRPr="008D75E6" w:rsidRDefault="008D75E6" w:rsidP="008D75E6">
      <w:pPr>
        <w:jc w:val="right"/>
      </w:pPr>
    </w:p>
    <w:sectPr w:rsidR="008D75E6" w:rsidRPr="008D75E6" w:rsidSect="0001557F">
      <w:footerReference w:type="default" r:id="rId15"/>
      <w:footerReference w:type="first" r:id="rId16"/>
      <w:type w:val="continuous"/>
      <w:pgSz w:w="16838" w:h="11906" w:orient="landscape" w:code="9"/>
      <w:pgMar w:top="1021" w:right="1531" w:bottom="680" w:left="1440" w:header="680" w:footer="680" w:gutter="0"/>
      <w:pgNumType w:start="1"/>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5DA84" w14:textId="77777777" w:rsidR="00403A63" w:rsidRDefault="00403A63" w:rsidP="00E4729F">
      <w:pPr>
        <w:spacing w:after="0" w:line="240" w:lineRule="auto"/>
      </w:pPr>
      <w:r>
        <w:separator/>
      </w:r>
    </w:p>
  </w:endnote>
  <w:endnote w:type="continuationSeparator" w:id="0">
    <w:p w14:paraId="28084E10" w14:textId="77777777" w:rsidR="00403A63" w:rsidRDefault="00403A63" w:rsidP="00E47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3923E" w14:textId="110EA6DB" w:rsidR="00953855" w:rsidRPr="00953855" w:rsidRDefault="009B6E92" w:rsidP="00953855">
    <w:pPr>
      <w:pStyle w:val="Footer"/>
    </w:pPr>
    <w:r>
      <mc:AlternateContent>
        <mc:Choice Requires="wps">
          <w:drawing>
            <wp:anchor distT="0" distB="0" distL="114300" distR="114300" simplePos="0" relativeHeight="251661312" behindDoc="0" locked="0" layoutInCell="0" allowOverlap="1" wp14:anchorId="660449A9" wp14:editId="60CD8EE4">
              <wp:simplePos x="0" y="0"/>
              <wp:positionH relativeFrom="page">
                <wp:posOffset>0</wp:posOffset>
              </wp:positionH>
              <wp:positionV relativeFrom="page">
                <wp:posOffset>7096125</wp:posOffset>
              </wp:positionV>
              <wp:extent cx="10692130" cy="273050"/>
              <wp:effectExtent l="0" t="0" r="0" b="12700"/>
              <wp:wrapNone/>
              <wp:docPr id="2" name="MSIPCMae814fe197d6ccd9fc735a58" descr="{&quot;HashCode&quot;:1231056682,&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6155456" w14:textId="308B13BD" w:rsidR="009B6E92" w:rsidRPr="009B6E92" w:rsidRDefault="005705CF" w:rsidP="009B6E92">
                          <w:pPr>
                            <w:spacing w:after="0"/>
                            <w:jc w:val="center"/>
                            <w:rPr>
                              <w:rFonts w:ascii="Calibri" w:hAnsi="Calibri" w:cs="Calibri"/>
                              <w:color w:val="008000"/>
                              <w:sz w:val="24"/>
                            </w:rPr>
                          </w:pPr>
                          <w:r>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60449A9" id="_x0000_t202" coordsize="21600,21600" o:spt="202" path="m,l,21600r21600,l21600,xe">
              <v:stroke joinstyle="miter"/>
              <v:path gradientshapeok="t" o:connecttype="rect"/>
            </v:shapetype>
            <v:shape id="MSIPCMae814fe197d6ccd9fc735a58" o:spid="_x0000_s1026" type="#_x0000_t202" alt="{&quot;HashCode&quot;:1231056682,&quot;Height&quot;:595.0,&quot;Width&quot;:841.0,&quot;Placement&quot;:&quot;Footer&quot;,&quot;Index&quot;:&quot;Primary&quot;,&quot;Section&quot;:1,&quot;Top&quot;:0.0,&quot;Left&quot;:0.0}" style="position:absolute;left:0;text-align:left;margin-left:0;margin-top:558.75pt;width:841.9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" o:allowincell="f" filled="f" stroked="f" strokeweight=".5pt">
              <v:textbox inset=",0,,0">
                <w:txbxContent>
                  <w:p w14:paraId="06155456" w14:textId="308B13BD" w:rsidR="009B6E92" w:rsidRPr="009B6E92" w:rsidRDefault="005705CF" w:rsidP="009B6E92">
                    <w:pPr>
                      <w:spacing w:after="0"/>
                      <w:jc w:val="center"/>
                      <w:rPr>
                        <w:rFonts w:ascii="Calibri" w:hAnsi="Calibri" w:cs="Calibri"/>
                        <w:color w:val="008000"/>
                        <w:sz w:val="24"/>
                      </w:rPr>
                    </w:pPr>
                    <w:r>
                      <w:rPr>
                        <w:rFonts w:ascii="Calibri" w:hAnsi="Calibri" w:cs="Calibri"/>
                        <w:color w:val="008000"/>
                        <w:sz w:val="24"/>
                      </w:rPr>
                      <w:t>Internal Use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DD57" w14:textId="0F4C6B21" w:rsidR="00E91EA1" w:rsidRDefault="00E91EA1">
    <w:pPr>
      <w:pStyle w:val="Footer"/>
    </w:pPr>
    <w:r>
      <w:rPr>
        <w:lang w:eastAsia="en-GB"/>
      </w:rPr>
      <mc:AlternateContent>
        <mc:Choice Requires="wps">
          <w:drawing>
            <wp:anchor distT="0" distB="0" distL="114300" distR="114300" simplePos="0" relativeHeight="251660288" behindDoc="0" locked="0" layoutInCell="0" allowOverlap="1" wp14:anchorId="6A855761" wp14:editId="10AB0798">
              <wp:simplePos x="0" y="0"/>
              <wp:positionH relativeFrom="page">
                <wp:posOffset>0</wp:posOffset>
              </wp:positionH>
              <wp:positionV relativeFrom="page">
                <wp:posOffset>7096125</wp:posOffset>
              </wp:positionV>
              <wp:extent cx="10692130" cy="273050"/>
              <wp:effectExtent l="0" t="0" r="0" b="12700"/>
              <wp:wrapNone/>
              <wp:docPr id="3" name="MSIPCM0422457b89a36da876cfac94" descr="{&quot;HashCode&quot;:1231056682,&quot;Height&quot;:595.0,&quot;Width&quot;:841.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78FBDC" w14:textId="4E861E06" w:rsidR="00E91EA1" w:rsidRPr="00E91EA1" w:rsidRDefault="005705CF" w:rsidP="00E91EA1">
                          <w:pPr>
                            <w:spacing w:after="0"/>
                            <w:jc w:val="center"/>
                            <w:rPr>
                              <w:rFonts w:ascii="Calibri" w:hAnsi="Calibri" w:cs="Calibri"/>
                              <w:color w:val="008000"/>
                              <w:sz w:val="24"/>
                            </w:rPr>
                          </w:pPr>
                          <w:r>
                            <w:rPr>
                              <w:rFonts w:ascii="Calibri" w:hAnsi="Calibri" w:cs="Calibri"/>
                              <w:color w:val="008000"/>
                              <w:sz w:val="24"/>
                            </w:rPr>
                            <w:t>Internal Use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A855761" id="_x0000_t202" coordsize="21600,21600" o:spt="202" path="m,l,21600r21600,l21600,xe">
              <v:stroke joinstyle="miter"/>
              <v:path gradientshapeok="t" o:connecttype="rect"/>
            </v:shapetype>
            <v:shape id="MSIPCM0422457b89a36da876cfac94" o:spid="_x0000_s1027" type="#_x0000_t202" alt="{&quot;HashCode&quot;:1231056682,&quot;Height&quot;:595.0,&quot;Width&quot;:841.0,&quot;Placement&quot;:&quot;Footer&quot;,&quot;Index&quot;:&quot;FirstPage&quot;,&quot;Section&quot;:1,&quot;Top&quot;:0.0,&quot;Left&quot;:0.0}" style="position:absolute;left:0;text-align:left;margin-left:0;margin-top:558.75pt;width:841.9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" o:allowincell="f" filled="f" stroked="f" strokeweight=".5pt">
              <v:textbox inset=",0,,0">
                <w:txbxContent>
                  <w:p w14:paraId="4A78FBDC" w14:textId="4E861E06" w:rsidR="00E91EA1" w:rsidRPr="00E91EA1" w:rsidRDefault="005705CF" w:rsidP="00E91EA1">
                    <w:pPr>
                      <w:spacing w:after="0"/>
                      <w:jc w:val="center"/>
                      <w:rPr>
                        <w:rFonts w:ascii="Calibri" w:hAnsi="Calibri" w:cs="Calibri"/>
                        <w:color w:val="008000"/>
                        <w:sz w:val="24"/>
                      </w:rPr>
                    </w:pPr>
                    <w:r>
                      <w:rPr>
                        <w:rFonts w:ascii="Calibri" w:hAnsi="Calibri" w:cs="Calibri"/>
                        <w:color w:val="008000"/>
                        <w:sz w:val="24"/>
                      </w:rPr>
                      <w:t>Internal Use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680C7" w14:textId="77777777" w:rsidR="00403A63" w:rsidRDefault="00403A63" w:rsidP="00A3614C">
      <w:pPr>
        <w:pStyle w:val="FootnoteSeperator"/>
      </w:pPr>
      <w:r>
        <w:tab/>
      </w:r>
    </w:p>
  </w:footnote>
  <w:footnote w:type="continuationSeparator" w:id="0">
    <w:p w14:paraId="24C79A63" w14:textId="77777777" w:rsidR="00403A63" w:rsidRDefault="00403A63" w:rsidP="00E47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E472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B48DE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0891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FCA47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D5A91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DC05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3883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4E0C7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0EA3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A8EBB8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E12557"/>
    <w:multiLevelType w:val="hybridMultilevel"/>
    <w:tmpl w:val="1C4AB87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16F7326F"/>
    <w:multiLevelType w:val="multilevel"/>
    <w:tmpl w:val="85127D80"/>
    <w:styleLink w:val="NumLstAppendix"/>
    <w:lvl w:ilvl="0">
      <w:start w:val="1"/>
      <w:numFmt w:val="decimal"/>
      <w:pStyle w:val="AppendixNumb"/>
      <w:suff w:val="nothing"/>
      <w:lvlText w:val="Appendix %1"/>
      <w:lvlJc w:val="left"/>
      <w:pPr>
        <w:ind w:left="0" w:firstLine="0"/>
      </w:pPr>
      <w:rPr>
        <w:rFonts w:asciiTheme="majorHAnsi" w:hAnsiTheme="majorHAnsi" w:hint="default"/>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1ED011F"/>
    <w:multiLevelType w:val="multilevel"/>
    <w:tmpl w:val="9F3069B8"/>
    <w:styleLink w:val="NumListTableNum"/>
    <w:lvl w:ilvl="0">
      <w:start w:val="1"/>
      <w:numFmt w:val="decimal"/>
      <w:pStyle w:val="TableNumbered"/>
      <w:lvlText w:val="%1."/>
      <w:lvlJc w:val="left"/>
      <w:pPr>
        <w:tabs>
          <w:tab w:val="num" w:pos="397"/>
        </w:tabs>
        <w:ind w:left="397" w:hanging="284"/>
      </w:pPr>
      <w:rPr>
        <w:rFonts w:hint="default"/>
      </w:rPr>
    </w:lvl>
    <w:lvl w:ilvl="1">
      <w:start w:val="1"/>
      <w:numFmt w:val="lowerLetter"/>
      <w:pStyle w:val="TableNumberedIndent"/>
      <w:lvlText w:val="%2."/>
      <w:lvlJc w:val="left"/>
      <w:pPr>
        <w:tabs>
          <w:tab w:val="num" w:pos="680"/>
        </w:tabs>
        <w:ind w:left="680" w:hanging="283"/>
      </w:pPr>
      <w:rPr>
        <w:rFonts w:hint="default"/>
      </w:rPr>
    </w:lvl>
    <w:lvl w:ilvl="2">
      <w:start w:val="1"/>
      <w:numFmt w:val="none"/>
      <w:lvlText w:val=""/>
      <w:lvlJc w:val="left"/>
      <w:pPr>
        <w:ind w:left="851" w:hanging="284"/>
      </w:pPr>
      <w:rPr>
        <w:rFonts w:hint="default"/>
      </w:rPr>
    </w:lvl>
    <w:lvl w:ilvl="3">
      <w:start w:val="1"/>
      <w:numFmt w:val="none"/>
      <w:lvlText w:val=""/>
      <w:lvlJc w:val="left"/>
      <w:pPr>
        <w:ind w:left="851" w:hanging="284"/>
      </w:pPr>
      <w:rPr>
        <w:rFonts w:hint="default"/>
      </w:rPr>
    </w:lvl>
    <w:lvl w:ilvl="4">
      <w:start w:val="1"/>
      <w:numFmt w:val="none"/>
      <w:lvlText w:val=""/>
      <w:lvlJc w:val="left"/>
      <w:pPr>
        <w:ind w:left="851" w:hanging="284"/>
      </w:pPr>
      <w:rPr>
        <w:rFonts w:hint="default"/>
      </w:rPr>
    </w:lvl>
    <w:lvl w:ilvl="5">
      <w:start w:val="1"/>
      <w:numFmt w:val="none"/>
      <w:lvlText w:val=""/>
      <w:lvlJc w:val="lef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left"/>
      <w:pPr>
        <w:ind w:left="851" w:hanging="284"/>
      </w:pPr>
      <w:rPr>
        <w:rFonts w:hint="default"/>
      </w:rPr>
    </w:lvl>
  </w:abstractNum>
  <w:abstractNum w:abstractNumId="13" w15:restartNumberingAfterBreak="0">
    <w:nsid w:val="39966A51"/>
    <w:multiLevelType w:val="multilevel"/>
    <w:tmpl w:val="2ED8936E"/>
    <w:lvl w:ilvl="0">
      <w:start w:val="1"/>
      <w:numFmt w:val="bullet"/>
      <w:pStyle w:val="HighlightBullet"/>
      <w:lvlText w:val=""/>
      <w:lvlJc w:val="left"/>
      <w:pPr>
        <w:tabs>
          <w:tab w:val="num" w:pos="567"/>
        </w:tabs>
        <w:ind w:left="567" w:hanging="340"/>
      </w:pPr>
      <w:rPr>
        <w:rFonts w:ascii="Wingdings" w:hAnsi="Wingdings" w:hint="default"/>
        <w:color w:val="6EB02D" w:themeColor="accent1"/>
      </w:rPr>
    </w:lvl>
    <w:lvl w:ilvl="1">
      <w:start w:val="1"/>
      <w:numFmt w:val="none"/>
      <w:lvlText w:val=""/>
      <w:lvlJc w:val="left"/>
      <w:pPr>
        <w:ind w:left="567" w:hanging="340"/>
      </w:pPr>
      <w:rPr>
        <w:rFonts w:hint="default"/>
      </w:rPr>
    </w:lvl>
    <w:lvl w:ilvl="2">
      <w:start w:val="1"/>
      <w:numFmt w:val="none"/>
      <w:lvlText w:val=""/>
      <w:lvlJc w:val="left"/>
      <w:pPr>
        <w:ind w:left="567" w:hanging="340"/>
      </w:pPr>
      <w:rPr>
        <w:rFonts w:hint="default"/>
      </w:rPr>
    </w:lvl>
    <w:lvl w:ilvl="3">
      <w:start w:val="1"/>
      <w:numFmt w:val="none"/>
      <w:lvlText w:val=""/>
      <w:lvlJc w:val="left"/>
      <w:pPr>
        <w:ind w:left="567" w:hanging="340"/>
      </w:pPr>
      <w:rPr>
        <w:rFonts w:hint="default"/>
      </w:rPr>
    </w:lvl>
    <w:lvl w:ilvl="4">
      <w:start w:val="1"/>
      <w:numFmt w:val="none"/>
      <w:lvlText w:val=""/>
      <w:lvlJc w:val="left"/>
      <w:pPr>
        <w:ind w:left="567" w:hanging="340"/>
      </w:pPr>
      <w:rPr>
        <w:rFonts w:hint="default"/>
      </w:rPr>
    </w:lvl>
    <w:lvl w:ilvl="5">
      <w:start w:val="1"/>
      <w:numFmt w:val="none"/>
      <w:lvlText w:val=""/>
      <w:lvlJc w:val="left"/>
      <w:pPr>
        <w:ind w:left="567" w:hanging="340"/>
      </w:pPr>
      <w:rPr>
        <w:rFonts w:hint="default"/>
      </w:rPr>
    </w:lvl>
    <w:lvl w:ilvl="6">
      <w:start w:val="1"/>
      <w:numFmt w:val="none"/>
      <w:lvlText w:val=""/>
      <w:lvlJc w:val="left"/>
      <w:pPr>
        <w:ind w:left="567" w:hanging="340"/>
      </w:pPr>
      <w:rPr>
        <w:rFonts w:hint="default"/>
      </w:rPr>
    </w:lvl>
    <w:lvl w:ilvl="7">
      <w:start w:val="1"/>
      <w:numFmt w:val="none"/>
      <w:lvlText w:val=""/>
      <w:lvlJc w:val="left"/>
      <w:pPr>
        <w:ind w:left="567" w:hanging="340"/>
      </w:pPr>
      <w:rPr>
        <w:rFonts w:hint="default"/>
      </w:rPr>
    </w:lvl>
    <w:lvl w:ilvl="8">
      <w:start w:val="1"/>
      <w:numFmt w:val="none"/>
      <w:lvlText w:val=""/>
      <w:lvlJc w:val="left"/>
      <w:pPr>
        <w:ind w:left="567" w:hanging="340"/>
      </w:pPr>
      <w:rPr>
        <w:rFonts w:hint="default"/>
      </w:rPr>
    </w:lvl>
  </w:abstractNum>
  <w:abstractNum w:abstractNumId="14" w15:restartNumberingAfterBreak="0">
    <w:nsid w:val="509A5FC5"/>
    <w:multiLevelType w:val="multilevel"/>
    <w:tmpl w:val="2E107522"/>
    <w:styleLink w:val="NumLstMain"/>
    <w:lvl w:ilvl="0">
      <w:start w:val="1"/>
      <w:numFmt w:val="decimal"/>
      <w:pStyle w:val="Heading1"/>
      <w:suff w:val="space"/>
      <w:lvlText w:val="Section %1"/>
      <w:lvlJc w:val="left"/>
      <w:pPr>
        <w:ind w:left="0" w:firstLine="0"/>
      </w:pPr>
      <w:rPr>
        <w:rFonts w:hint="default"/>
        <w:color w:val="000000" w:themeColor="text1"/>
      </w:rPr>
    </w:lvl>
    <w:lvl w:ilvl="1">
      <w:start w:val="1"/>
      <w:numFmt w:val="decimal"/>
      <w:pStyle w:val="NumberedParagraph"/>
      <w:lvlText w:val="%1.%2"/>
      <w:lvlJc w:val="left"/>
      <w:pPr>
        <w:tabs>
          <w:tab w:val="num" w:pos="454"/>
        </w:tabs>
        <w:ind w:left="0" w:firstLine="0"/>
      </w:pPr>
      <w:rPr>
        <w:rFonts w:asciiTheme="minorHAnsi" w:hAnsiTheme="minorHAnsi" w:hint="default"/>
        <w:b/>
        <w:i w:val="0"/>
      </w:rPr>
    </w:lvl>
    <w:lvl w:ilvl="2">
      <w:start w:val="1"/>
      <w:numFmt w:val="decimal"/>
      <w:pStyle w:val="FigureTitle"/>
      <w:suff w:val="space"/>
      <w:lvlText w:val="Figure %1.%3:"/>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ableTitle"/>
      <w:suff w:val="space"/>
      <w:lvlText w:val="Table %1.%4:"/>
      <w:lvlJc w:val="left"/>
      <w:pPr>
        <w:ind w:left="0" w:firstLine="0"/>
      </w:pPr>
      <w:rPr>
        <w:rFonts w:hint="default"/>
      </w:rPr>
    </w:lvl>
    <w:lvl w:ilvl="4">
      <w:start w:val="1"/>
      <w:numFmt w:val="decimal"/>
      <w:lvlRestart w:val="2"/>
      <w:pStyle w:val="NumbList1"/>
      <w:lvlText w:val="%5."/>
      <w:lvlJc w:val="left"/>
      <w:pPr>
        <w:tabs>
          <w:tab w:val="num" w:pos="454"/>
        </w:tabs>
        <w:ind w:left="454" w:hanging="341"/>
      </w:pPr>
      <w:rPr>
        <w:rFonts w:hint="default"/>
        <w:color w:val="6EB02D" w:themeColor="accent1"/>
      </w:rPr>
    </w:lvl>
    <w:lvl w:ilvl="5">
      <w:start w:val="1"/>
      <w:numFmt w:val="lowerLetter"/>
      <w:pStyle w:val="NumbList2"/>
      <w:lvlText w:val="%6."/>
      <w:lvlJc w:val="left"/>
      <w:pPr>
        <w:tabs>
          <w:tab w:val="num" w:pos="794"/>
        </w:tabs>
        <w:ind w:left="794" w:hanging="340"/>
      </w:pPr>
      <w:rPr>
        <w:rFonts w:hint="default"/>
        <w:color w:val="6EB02D" w:themeColor="accent1"/>
      </w:rPr>
    </w:lvl>
    <w:lvl w:ilvl="6">
      <w:start w:val="1"/>
      <w:numFmt w:val="none"/>
      <w:suff w:val="nothing"/>
      <w:lvlText w:val=""/>
      <w:lvlJc w:val="left"/>
      <w:pPr>
        <w:ind w:left="794" w:firstLine="0"/>
      </w:pPr>
      <w:rPr>
        <w:rFonts w:hint="default"/>
      </w:rPr>
    </w:lvl>
    <w:lvl w:ilvl="7">
      <w:start w:val="1"/>
      <w:numFmt w:val="none"/>
      <w:suff w:val="nothing"/>
      <w:lvlText w:val=""/>
      <w:lvlJc w:val="left"/>
      <w:pPr>
        <w:ind w:left="794" w:firstLine="0"/>
      </w:pPr>
      <w:rPr>
        <w:rFonts w:hint="default"/>
      </w:rPr>
    </w:lvl>
    <w:lvl w:ilvl="8">
      <w:start w:val="1"/>
      <w:numFmt w:val="none"/>
      <w:suff w:val="nothing"/>
      <w:lvlText w:val=""/>
      <w:lvlJc w:val="left"/>
      <w:pPr>
        <w:ind w:left="794" w:firstLine="0"/>
      </w:pPr>
      <w:rPr>
        <w:rFonts w:hint="default"/>
      </w:rPr>
    </w:lvl>
  </w:abstractNum>
  <w:abstractNum w:abstractNumId="15" w15:restartNumberingAfterBreak="0">
    <w:nsid w:val="50A47316"/>
    <w:multiLevelType w:val="multilevel"/>
    <w:tmpl w:val="84485F64"/>
    <w:styleLink w:val="NumLstTableBullet"/>
    <w:lvl w:ilvl="0">
      <w:start w:val="1"/>
      <w:numFmt w:val="bullet"/>
      <w:pStyle w:val="TableBullet1"/>
      <w:lvlText w:val=""/>
      <w:lvlJc w:val="left"/>
      <w:pPr>
        <w:ind w:left="567" w:hanging="283"/>
      </w:pPr>
      <w:rPr>
        <w:rFonts w:ascii="Wingdings" w:hAnsi="Wingdings" w:hint="default"/>
        <w:color w:val="6EB02D" w:themeColor="accent1"/>
      </w:rPr>
    </w:lvl>
    <w:lvl w:ilvl="1">
      <w:start w:val="1"/>
      <w:numFmt w:val="none"/>
      <w:pStyle w:val="TableBullet2"/>
      <w:lvlText w:val="–"/>
      <w:lvlJc w:val="left"/>
      <w:pPr>
        <w:ind w:left="851" w:hanging="284"/>
      </w:pPr>
      <w:rPr>
        <w:rFonts w:asciiTheme="minorHAnsi" w:hAnsiTheme="minorHAnsi" w:hint="default"/>
        <w:color w:val="6EB02D" w:themeColor="accent1"/>
      </w:rPr>
    </w:lvl>
    <w:lvl w:ilvl="2">
      <w:start w:val="1"/>
      <w:numFmt w:val="none"/>
      <w:lvlText w:val=""/>
      <w:lvlJc w:val="left"/>
      <w:pPr>
        <w:ind w:left="851" w:hanging="284"/>
      </w:pPr>
      <w:rPr>
        <w:rFonts w:hint="default"/>
        <w:color w:val="6EB02D" w:themeColor="accent1"/>
      </w:rPr>
    </w:lvl>
    <w:lvl w:ilvl="3">
      <w:start w:val="1"/>
      <w:numFmt w:val="none"/>
      <w:lvlText w:val=""/>
      <w:lvlJc w:val="left"/>
      <w:pPr>
        <w:ind w:left="851" w:hanging="284"/>
      </w:pPr>
      <w:rPr>
        <w:rFonts w:asciiTheme="minorHAnsi" w:hAnsiTheme="minorHAnsi" w:hint="default"/>
        <w:color w:val="6EB02D" w:themeColor="accent1"/>
      </w:rPr>
    </w:lvl>
    <w:lvl w:ilvl="4">
      <w:start w:val="1"/>
      <w:numFmt w:val="none"/>
      <w:lvlText w:val=""/>
      <w:lvlJc w:val="left"/>
      <w:pPr>
        <w:ind w:left="851" w:hanging="284"/>
      </w:pPr>
      <w:rPr>
        <w:rFonts w:hint="default"/>
      </w:rPr>
    </w:lvl>
    <w:lvl w:ilvl="5">
      <w:start w:val="1"/>
      <w:numFmt w:val="none"/>
      <w:lvlText w:val=""/>
      <w:lvlJc w:val="left"/>
      <w:pPr>
        <w:ind w:left="851" w:hanging="284"/>
      </w:pPr>
      <w:rPr>
        <w:rFonts w:hint="default"/>
      </w:rPr>
    </w:lvl>
    <w:lvl w:ilvl="6">
      <w:start w:val="1"/>
      <w:numFmt w:val="none"/>
      <w:lvlText w:val=""/>
      <w:lvlJc w:val="left"/>
      <w:pPr>
        <w:ind w:left="851" w:hanging="284"/>
      </w:pPr>
      <w:rPr>
        <w:rFonts w:hint="default"/>
      </w:rPr>
    </w:lvl>
    <w:lvl w:ilvl="7">
      <w:start w:val="1"/>
      <w:numFmt w:val="none"/>
      <w:lvlText w:val=""/>
      <w:lvlJc w:val="left"/>
      <w:pPr>
        <w:ind w:left="851" w:hanging="284"/>
      </w:pPr>
      <w:rPr>
        <w:rFonts w:hint="default"/>
      </w:rPr>
    </w:lvl>
    <w:lvl w:ilvl="8">
      <w:start w:val="1"/>
      <w:numFmt w:val="none"/>
      <w:lvlText w:val=""/>
      <w:lvlJc w:val="left"/>
      <w:pPr>
        <w:ind w:left="851" w:hanging="284"/>
      </w:pPr>
      <w:rPr>
        <w:rFonts w:hint="default"/>
      </w:rPr>
    </w:lvl>
  </w:abstractNum>
  <w:abstractNum w:abstractNumId="16" w15:restartNumberingAfterBreak="0">
    <w:nsid w:val="74DE47AB"/>
    <w:multiLevelType w:val="multilevel"/>
    <w:tmpl w:val="72C447D4"/>
    <w:numStyleLink w:val="NumbListBullet"/>
  </w:abstractNum>
  <w:abstractNum w:abstractNumId="17" w15:restartNumberingAfterBreak="0">
    <w:nsid w:val="7DB00CED"/>
    <w:multiLevelType w:val="multilevel"/>
    <w:tmpl w:val="72C447D4"/>
    <w:styleLink w:val="NumbListBullet"/>
    <w:lvl w:ilvl="0">
      <w:start w:val="1"/>
      <w:numFmt w:val="bullet"/>
      <w:pStyle w:val="Bullet1"/>
      <w:lvlText w:val=""/>
      <w:lvlJc w:val="left"/>
      <w:pPr>
        <w:tabs>
          <w:tab w:val="num" w:pos="454"/>
        </w:tabs>
        <w:ind w:left="454" w:hanging="341"/>
      </w:pPr>
      <w:rPr>
        <w:rFonts w:ascii="Wingdings" w:hAnsi="Wingdings" w:hint="default"/>
        <w:color w:val="6EB02D" w:themeColor="accent1"/>
        <w:szCs w:val="28"/>
      </w:rPr>
    </w:lvl>
    <w:lvl w:ilvl="1">
      <w:start w:val="1"/>
      <w:numFmt w:val="none"/>
      <w:pStyle w:val="Bullet2"/>
      <w:lvlText w:val="–"/>
      <w:lvlJc w:val="left"/>
      <w:pPr>
        <w:tabs>
          <w:tab w:val="num" w:pos="794"/>
        </w:tabs>
        <w:ind w:left="794" w:hanging="340"/>
      </w:pPr>
      <w:rPr>
        <w:rFonts w:asciiTheme="minorHAnsi" w:hAnsiTheme="minorHAnsi" w:hint="default"/>
        <w:color w:val="6EB02D" w:themeColor="accent1"/>
      </w:rPr>
    </w:lvl>
    <w:lvl w:ilvl="2">
      <w:start w:val="1"/>
      <w:numFmt w:val="bullet"/>
      <w:lvlText w:val=""/>
      <w:lvlJc w:val="left"/>
      <w:pPr>
        <w:tabs>
          <w:tab w:val="num" w:pos="1361"/>
        </w:tabs>
        <w:ind w:left="1361" w:hanging="397"/>
      </w:pPr>
      <w:rPr>
        <w:rFonts w:ascii="Wingdings" w:hAnsi="Wingdings" w:hint="default"/>
        <w:color w:val="6EB02D" w:themeColor="accent1"/>
      </w:rPr>
    </w:lvl>
    <w:lvl w:ilvl="3">
      <w:start w:val="1"/>
      <w:numFmt w:val="none"/>
      <w:lvlText w:val="–"/>
      <w:lvlJc w:val="left"/>
      <w:pPr>
        <w:tabs>
          <w:tab w:val="num" w:pos="1758"/>
        </w:tabs>
        <w:ind w:left="1758" w:hanging="397"/>
      </w:pPr>
      <w:rPr>
        <w:rFonts w:hint="default"/>
        <w:color w:val="6EB02D" w:themeColor="accent1"/>
      </w:rPr>
    </w:lvl>
    <w:lvl w:ilvl="4">
      <w:start w:val="1"/>
      <w:numFmt w:val="bullet"/>
      <w:lvlText w:val=""/>
      <w:lvlJc w:val="left"/>
      <w:pPr>
        <w:tabs>
          <w:tab w:val="num" w:pos="2155"/>
        </w:tabs>
        <w:ind w:left="2155" w:hanging="397"/>
      </w:pPr>
      <w:rPr>
        <w:rFonts w:ascii="Wingdings" w:hAnsi="Wingdings" w:hint="default"/>
        <w:color w:val="6EB02D" w:themeColor="accent1"/>
        <w:szCs w:val="28"/>
      </w:rPr>
    </w:lvl>
    <w:lvl w:ilvl="5">
      <w:start w:val="1"/>
      <w:numFmt w:val="none"/>
      <w:suff w:val="nothing"/>
      <w:lvlText w:val=""/>
      <w:lvlJc w:val="left"/>
      <w:pPr>
        <w:ind w:left="2155" w:firstLine="0"/>
      </w:pPr>
      <w:rPr>
        <w:rFonts w:hint="default"/>
        <w:color w:val="FF8204"/>
      </w:rPr>
    </w:lvl>
    <w:lvl w:ilvl="6">
      <w:start w:val="1"/>
      <w:numFmt w:val="none"/>
      <w:suff w:val="nothing"/>
      <w:lvlText w:val=""/>
      <w:lvlJc w:val="left"/>
      <w:pPr>
        <w:ind w:left="2155" w:firstLine="0"/>
      </w:pPr>
      <w:rPr>
        <w:rFonts w:hint="default"/>
      </w:rPr>
    </w:lvl>
    <w:lvl w:ilvl="7">
      <w:start w:val="1"/>
      <w:numFmt w:val="none"/>
      <w:lvlText w:val=""/>
      <w:lvlJc w:val="left"/>
      <w:pPr>
        <w:tabs>
          <w:tab w:val="num" w:pos="3346"/>
        </w:tabs>
        <w:ind w:left="2155" w:firstLine="0"/>
      </w:pPr>
      <w:rPr>
        <w:rFonts w:hint="default"/>
        <w:color w:val="FF8204"/>
      </w:rPr>
    </w:lvl>
    <w:lvl w:ilvl="8">
      <w:start w:val="1"/>
      <w:numFmt w:val="none"/>
      <w:lvlText w:val=""/>
      <w:lvlJc w:val="left"/>
      <w:pPr>
        <w:tabs>
          <w:tab w:val="num" w:pos="3743"/>
        </w:tabs>
        <w:ind w:left="2155" w:firstLine="0"/>
      </w:pPr>
      <w:rPr>
        <w:rFonts w:hint="default"/>
        <w:color w:val="FF8204"/>
        <w:szCs w:val="28"/>
      </w:rPr>
    </w:lvl>
  </w:abstractNum>
  <w:num w:numId="1">
    <w:abstractNumId w:val="14"/>
  </w:num>
  <w:num w:numId="2">
    <w:abstractNumId w:val="17"/>
  </w:num>
  <w:num w:numId="3">
    <w:abstractNumId w:val="15"/>
  </w:num>
  <w:num w:numId="4">
    <w:abstractNumId w:val="12"/>
  </w:num>
  <w:num w:numId="5">
    <w:abstractNumId w:val="11"/>
  </w:num>
  <w:num w:numId="6">
    <w:abstractNumId w:val="16"/>
  </w:num>
  <w:num w:numId="7">
    <w:abstractNumId w:val="15"/>
  </w:num>
  <w:num w:numId="8">
    <w:abstractNumId w:val="12"/>
  </w:num>
  <w:num w:numId="9">
    <w:abstractNumId w:val="14"/>
  </w:num>
  <w:num w:numId="10">
    <w:abstractNumId w:val="11"/>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3"/>
  </w:num>
  <w:num w:numId="22">
    <w:abstractNumId w:val="11"/>
  </w:num>
  <w:num w:numId="23">
    <w:abstractNumId w:val="14"/>
  </w:num>
  <w:num w:numId="24">
    <w:abstractNumId w:val="15"/>
  </w:num>
  <w:num w:numId="25">
    <w:abstractNumId w:val="15"/>
  </w:num>
  <w:num w:numId="26">
    <w:abstractNumId w:val="15"/>
  </w:num>
  <w:num w:numId="27">
    <w:abstractNumId w:val="15"/>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TemplateDate" w:val="16 December 2020"/>
    <w:docVar w:name="CurrentTemplateName" w:val="LUC Blank.dotm"/>
    <w:docVar w:name="DocTemplateName" w:val="LUC Blank.dotm"/>
    <w:docVar w:name="FooterDocNo" w:val="LUC A4 Report v3.dotx"/>
    <w:docVar w:name="HeaderDocDate" w:val="HeaderDate"/>
    <w:docVar w:name="HeaderDocTitle" w:val="HeaderTitle"/>
    <w:docVar w:name="InitialTemplateDate" w:val="16 December 2020"/>
    <w:docVar w:name="InitialTemplateName" w:val="LUC Blank.dotm"/>
    <w:docVar w:name="InitialTemplateVersion" w:val="1.03"/>
    <w:docVar w:name="NewDoc" w:val="True"/>
  </w:docVars>
  <w:rsids>
    <w:rsidRoot w:val="0001557F"/>
    <w:rsid w:val="0000317B"/>
    <w:rsid w:val="000106A4"/>
    <w:rsid w:val="00010C6A"/>
    <w:rsid w:val="00012E29"/>
    <w:rsid w:val="000149EB"/>
    <w:rsid w:val="0001557F"/>
    <w:rsid w:val="00015E28"/>
    <w:rsid w:val="00021459"/>
    <w:rsid w:val="00022D53"/>
    <w:rsid w:val="000257A4"/>
    <w:rsid w:val="00027CD6"/>
    <w:rsid w:val="0003099C"/>
    <w:rsid w:val="00030B21"/>
    <w:rsid w:val="00031CFB"/>
    <w:rsid w:val="00031EC7"/>
    <w:rsid w:val="000343F7"/>
    <w:rsid w:val="0003463A"/>
    <w:rsid w:val="00034C0C"/>
    <w:rsid w:val="00034D5C"/>
    <w:rsid w:val="00034F47"/>
    <w:rsid w:val="00035B28"/>
    <w:rsid w:val="0003719F"/>
    <w:rsid w:val="0004066C"/>
    <w:rsid w:val="000413C1"/>
    <w:rsid w:val="00041777"/>
    <w:rsid w:val="00044D26"/>
    <w:rsid w:val="00044FE7"/>
    <w:rsid w:val="00047407"/>
    <w:rsid w:val="00050D00"/>
    <w:rsid w:val="000539DD"/>
    <w:rsid w:val="00054849"/>
    <w:rsid w:val="00054E5F"/>
    <w:rsid w:val="00055264"/>
    <w:rsid w:val="00055A82"/>
    <w:rsid w:val="0005756C"/>
    <w:rsid w:val="00061AEA"/>
    <w:rsid w:val="0006358A"/>
    <w:rsid w:val="0006361B"/>
    <w:rsid w:val="00066B74"/>
    <w:rsid w:val="00070188"/>
    <w:rsid w:val="0007074B"/>
    <w:rsid w:val="000729C1"/>
    <w:rsid w:val="00073247"/>
    <w:rsid w:val="000764F9"/>
    <w:rsid w:val="000773B7"/>
    <w:rsid w:val="00080301"/>
    <w:rsid w:val="0008060B"/>
    <w:rsid w:val="00081252"/>
    <w:rsid w:val="000816AD"/>
    <w:rsid w:val="000849A7"/>
    <w:rsid w:val="000849F7"/>
    <w:rsid w:val="0008717A"/>
    <w:rsid w:val="0008729F"/>
    <w:rsid w:val="00087C58"/>
    <w:rsid w:val="0009405C"/>
    <w:rsid w:val="00095FFB"/>
    <w:rsid w:val="00096C45"/>
    <w:rsid w:val="000A193B"/>
    <w:rsid w:val="000A3F4A"/>
    <w:rsid w:val="000A51F8"/>
    <w:rsid w:val="000B0A68"/>
    <w:rsid w:val="000B58E3"/>
    <w:rsid w:val="000B5A8E"/>
    <w:rsid w:val="000B61EA"/>
    <w:rsid w:val="000B6E75"/>
    <w:rsid w:val="000B7B94"/>
    <w:rsid w:val="000C02DD"/>
    <w:rsid w:val="000C0E62"/>
    <w:rsid w:val="000C16FE"/>
    <w:rsid w:val="000C227C"/>
    <w:rsid w:val="000C2B1F"/>
    <w:rsid w:val="000C2E3C"/>
    <w:rsid w:val="000C377B"/>
    <w:rsid w:val="000C5826"/>
    <w:rsid w:val="000C638A"/>
    <w:rsid w:val="000D2DA7"/>
    <w:rsid w:val="000D54C7"/>
    <w:rsid w:val="000D6D3F"/>
    <w:rsid w:val="000D708F"/>
    <w:rsid w:val="000E4324"/>
    <w:rsid w:val="000E7B51"/>
    <w:rsid w:val="000E7E34"/>
    <w:rsid w:val="000F3472"/>
    <w:rsid w:val="000F48C3"/>
    <w:rsid w:val="000F5992"/>
    <w:rsid w:val="000F6DB0"/>
    <w:rsid w:val="00100ABC"/>
    <w:rsid w:val="00103588"/>
    <w:rsid w:val="00103961"/>
    <w:rsid w:val="0010631A"/>
    <w:rsid w:val="00111697"/>
    <w:rsid w:val="001123D9"/>
    <w:rsid w:val="001132F9"/>
    <w:rsid w:val="0011629F"/>
    <w:rsid w:val="001178F9"/>
    <w:rsid w:val="00120D63"/>
    <w:rsid w:val="00121468"/>
    <w:rsid w:val="00121CCC"/>
    <w:rsid w:val="00124BB4"/>
    <w:rsid w:val="00124D9E"/>
    <w:rsid w:val="00126E1A"/>
    <w:rsid w:val="00126F93"/>
    <w:rsid w:val="001308D6"/>
    <w:rsid w:val="00132975"/>
    <w:rsid w:val="00132DC8"/>
    <w:rsid w:val="0013330D"/>
    <w:rsid w:val="00133E64"/>
    <w:rsid w:val="00134CFF"/>
    <w:rsid w:val="001357A5"/>
    <w:rsid w:val="00141BFC"/>
    <w:rsid w:val="00144107"/>
    <w:rsid w:val="00144426"/>
    <w:rsid w:val="00145F74"/>
    <w:rsid w:val="00146FD7"/>
    <w:rsid w:val="0015110C"/>
    <w:rsid w:val="00151C3D"/>
    <w:rsid w:val="00152F4F"/>
    <w:rsid w:val="001545BE"/>
    <w:rsid w:val="00154C5A"/>
    <w:rsid w:val="00155994"/>
    <w:rsid w:val="00155CE5"/>
    <w:rsid w:val="00156985"/>
    <w:rsid w:val="00160164"/>
    <w:rsid w:val="0016037D"/>
    <w:rsid w:val="00160762"/>
    <w:rsid w:val="00161047"/>
    <w:rsid w:val="001634FA"/>
    <w:rsid w:val="00163C77"/>
    <w:rsid w:val="00164A5B"/>
    <w:rsid w:val="001708E9"/>
    <w:rsid w:val="001709A4"/>
    <w:rsid w:val="0017629E"/>
    <w:rsid w:val="001774FC"/>
    <w:rsid w:val="0017797B"/>
    <w:rsid w:val="001829C6"/>
    <w:rsid w:val="00183913"/>
    <w:rsid w:val="00183DAE"/>
    <w:rsid w:val="00183FB0"/>
    <w:rsid w:val="001842B5"/>
    <w:rsid w:val="00185399"/>
    <w:rsid w:val="0018643C"/>
    <w:rsid w:val="00187018"/>
    <w:rsid w:val="00187E50"/>
    <w:rsid w:val="00191696"/>
    <w:rsid w:val="00197861"/>
    <w:rsid w:val="001A0A30"/>
    <w:rsid w:val="001A1FB4"/>
    <w:rsid w:val="001A3E71"/>
    <w:rsid w:val="001A5AD7"/>
    <w:rsid w:val="001A7078"/>
    <w:rsid w:val="001B0A4C"/>
    <w:rsid w:val="001B335C"/>
    <w:rsid w:val="001C1559"/>
    <w:rsid w:val="001C346F"/>
    <w:rsid w:val="001C4876"/>
    <w:rsid w:val="001C4920"/>
    <w:rsid w:val="001C4AE0"/>
    <w:rsid w:val="001C6488"/>
    <w:rsid w:val="001D1354"/>
    <w:rsid w:val="001D3A23"/>
    <w:rsid w:val="001E01CD"/>
    <w:rsid w:val="001E2C1E"/>
    <w:rsid w:val="001E2C40"/>
    <w:rsid w:val="001E3858"/>
    <w:rsid w:val="001E6211"/>
    <w:rsid w:val="001E6C63"/>
    <w:rsid w:val="001E74AF"/>
    <w:rsid w:val="001F08EA"/>
    <w:rsid w:val="001F3497"/>
    <w:rsid w:val="001F3C59"/>
    <w:rsid w:val="001F4265"/>
    <w:rsid w:val="001F48BC"/>
    <w:rsid w:val="001F67F2"/>
    <w:rsid w:val="00200774"/>
    <w:rsid w:val="00205F8F"/>
    <w:rsid w:val="002075E1"/>
    <w:rsid w:val="00207F3A"/>
    <w:rsid w:val="00211AA8"/>
    <w:rsid w:val="00212B74"/>
    <w:rsid w:val="0021307C"/>
    <w:rsid w:val="00217D1B"/>
    <w:rsid w:val="0022094B"/>
    <w:rsid w:val="00225F67"/>
    <w:rsid w:val="00230810"/>
    <w:rsid w:val="00230B20"/>
    <w:rsid w:val="002328B4"/>
    <w:rsid w:val="0023337C"/>
    <w:rsid w:val="00234BB7"/>
    <w:rsid w:val="002373CB"/>
    <w:rsid w:val="0024020E"/>
    <w:rsid w:val="002425A7"/>
    <w:rsid w:val="00242D58"/>
    <w:rsid w:val="00242E24"/>
    <w:rsid w:val="00243B73"/>
    <w:rsid w:val="00246419"/>
    <w:rsid w:val="00246A95"/>
    <w:rsid w:val="002472AF"/>
    <w:rsid w:val="0025049A"/>
    <w:rsid w:val="00250DDD"/>
    <w:rsid w:val="002511EC"/>
    <w:rsid w:val="002518BD"/>
    <w:rsid w:val="00252C48"/>
    <w:rsid w:val="002608DB"/>
    <w:rsid w:val="002627F9"/>
    <w:rsid w:val="00263FD6"/>
    <w:rsid w:val="002644BC"/>
    <w:rsid w:val="00264783"/>
    <w:rsid w:val="00266F11"/>
    <w:rsid w:val="00266F47"/>
    <w:rsid w:val="00272623"/>
    <w:rsid w:val="0027374E"/>
    <w:rsid w:val="00273ED3"/>
    <w:rsid w:val="0027435E"/>
    <w:rsid w:val="00275D26"/>
    <w:rsid w:val="00276DB3"/>
    <w:rsid w:val="00276E8D"/>
    <w:rsid w:val="0028008E"/>
    <w:rsid w:val="00284202"/>
    <w:rsid w:val="0028521F"/>
    <w:rsid w:val="00286FB0"/>
    <w:rsid w:val="0028722F"/>
    <w:rsid w:val="0028739B"/>
    <w:rsid w:val="002902BA"/>
    <w:rsid w:val="002912B4"/>
    <w:rsid w:val="0029328E"/>
    <w:rsid w:val="00294750"/>
    <w:rsid w:val="00297030"/>
    <w:rsid w:val="00297603"/>
    <w:rsid w:val="002976FD"/>
    <w:rsid w:val="002A153D"/>
    <w:rsid w:val="002A4CC7"/>
    <w:rsid w:val="002A72DB"/>
    <w:rsid w:val="002B2D43"/>
    <w:rsid w:val="002B3DE7"/>
    <w:rsid w:val="002B5A6F"/>
    <w:rsid w:val="002C00A7"/>
    <w:rsid w:val="002C018C"/>
    <w:rsid w:val="002C1076"/>
    <w:rsid w:val="002C18D0"/>
    <w:rsid w:val="002C32C2"/>
    <w:rsid w:val="002C4790"/>
    <w:rsid w:val="002C7315"/>
    <w:rsid w:val="002C744C"/>
    <w:rsid w:val="002C74AF"/>
    <w:rsid w:val="002C7D43"/>
    <w:rsid w:val="002C7FC4"/>
    <w:rsid w:val="002D09AE"/>
    <w:rsid w:val="002D2BAC"/>
    <w:rsid w:val="002D4EFF"/>
    <w:rsid w:val="002D7055"/>
    <w:rsid w:val="002D7381"/>
    <w:rsid w:val="002D7F48"/>
    <w:rsid w:val="002E52E3"/>
    <w:rsid w:val="002E6596"/>
    <w:rsid w:val="002F069B"/>
    <w:rsid w:val="002F0DCD"/>
    <w:rsid w:val="002F135A"/>
    <w:rsid w:val="002F1424"/>
    <w:rsid w:val="002F14B9"/>
    <w:rsid w:val="002F3A55"/>
    <w:rsid w:val="002F499C"/>
    <w:rsid w:val="002F4E49"/>
    <w:rsid w:val="002F7F6E"/>
    <w:rsid w:val="00300606"/>
    <w:rsid w:val="00302A43"/>
    <w:rsid w:val="00303677"/>
    <w:rsid w:val="003039FF"/>
    <w:rsid w:val="00304915"/>
    <w:rsid w:val="00304FF5"/>
    <w:rsid w:val="00311E9F"/>
    <w:rsid w:val="00311F9E"/>
    <w:rsid w:val="00312F92"/>
    <w:rsid w:val="003148A3"/>
    <w:rsid w:val="003239C4"/>
    <w:rsid w:val="00325A88"/>
    <w:rsid w:val="00325BF7"/>
    <w:rsid w:val="003265BA"/>
    <w:rsid w:val="003269BF"/>
    <w:rsid w:val="003273B6"/>
    <w:rsid w:val="00327A9D"/>
    <w:rsid w:val="0033065F"/>
    <w:rsid w:val="00330764"/>
    <w:rsid w:val="00332DC0"/>
    <w:rsid w:val="0033313A"/>
    <w:rsid w:val="0033343D"/>
    <w:rsid w:val="00333836"/>
    <w:rsid w:val="0033487B"/>
    <w:rsid w:val="00336D83"/>
    <w:rsid w:val="00336F1D"/>
    <w:rsid w:val="00337BA8"/>
    <w:rsid w:val="0034021A"/>
    <w:rsid w:val="003449FE"/>
    <w:rsid w:val="00345E2C"/>
    <w:rsid w:val="00347CEF"/>
    <w:rsid w:val="00355A5D"/>
    <w:rsid w:val="003601EA"/>
    <w:rsid w:val="00360A40"/>
    <w:rsid w:val="0036186D"/>
    <w:rsid w:val="00362F30"/>
    <w:rsid w:val="003675C2"/>
    <w:rsid w:val="003701C4"/>
    <w:rsid w:val="00370A57"/>
    <w:rsid w:val="00370D6E"/>
    <w:rsid w:val="00371CC8"/>
    <w:rsid w:val="0037284C"/>
    <w:rsid w:val="00373446"/>
    <w:rsid w:val="00373914"/>
    <w:rsid w:val="0037401E"/>
    <w:rsid w:val="003746F5"/>
    <w:rsid w:val="003806A1"/>
    <w:rsid w:val="00381F14"/>
    <w:rsid w:val="0038486D"/>
    <w:rsid w:val="0038596A"/>
    <w:rsid w:val="00385EFC"/>
    <w:rsid w:val="003867E7"/>
    <w:rsid w:val="003870A9"/>
    <w:rsid w:val="003874AB"/>
    <w:rsid w:val="00387BB5"/>
    <w:rsid w:val="00390717"/>
    <w:rsid w:val="00392228"/>
    <w:rsid w:val="00394999"/>
    <w:rsid w:val="00394B75"/>
    <w:rsid w:val="003952FB"/>
    <w:rsid w:val="00395E8B"/>
    <w:rsid w:val="0039638B"/>
    <w:rsid w:val="00396B58"/>
    <w:rsid w:val="00396F44"/>
    <w:rsid w:val="003A0508"/>
    <w:rsid w:val="003A0518"/>
    <w:rsid w:val="003A0DCD"/>
    <w:rsid w:val="003A354F"/>
    <w:rsid w:val="003A3C2F"/>
    <w:rsid w:val="003A5369"/>
    <w:rsid w:val="003A7B3A"/>
    <w:rsid w:val="003A7E50"/>
    <w:rsid w:val="003B1196"/>
    <w:rsid w:val="003B251E"/>
    <w:rsid w:val="003B6474"/>
    <w:rsid w:val="003C0D9D"/>
    <w:rsid w:val="003C2E36"/>
    <w:rsid w:val="003C30EC"/>
    <w:rsid w:val="003C58B4"/>
    <w:rsid w:val="003C7924"/>
    <w:rsid w:val="003D14E6"/>
    <w:rsid w:val="003D4359"/>
    <w:rsid w:val="003D7C16"/>
    <w:rsid w:val="003E0150"/>
    <w:rsid w:val="003E2FC6"/>
    <w:rsid w:val="003E3B04"/>
    <w:rsid w:val="003E4D84"/>
    <w:rsid w:val="003E6B3F"/>
    <w:rsid w:val="003E7C94"/>
    <w:rsid w:val="003E7EC0"/>
    <w:rsid w:val="003F167F"/>
    <w:rsid w:val="003F1981"/>
    <w:rsid w:val="003F2082"/>
    <w:rsid w:val="003F3F29"/>
    <w:rsid w:val="003F4589"/>
    <w:rsid w:val="003F5393"/>
    <w:rsid w:val="003F7264"/>
    <w:rsid w:val="0040180C"/>
    <w:rsid w:val="004020D2"/>
    <w:rsid w:val="00403A63"/>
    <w:rsid w:val="004046B7"/>
    <w:rsid w:val="004047A2"/>
    <w:rsid w:val="00405383"/>
    <w:rsid w:val="0040552B"/>
    <w:rsid w:val="00405AC3"/>
    <w:rsid w:val="00411343"/>
    <w:rsid w:val="004121EC"/>
    <w:rsid w:val="00412FE9"/>
    <w:rsid w:val="00417B04"/>
    <w:rsid w:val="00423000"/>
    <w:rsid w:val="0042488A"/>
    <w:rsid w:val="00427694"/>
    <w:rsid w:val="00427DBC"/>
    <w:rsid w:val="00430D94"/>
    <w:rsid w:val="00430FCF"/>
    <w:rsid w:val="00432865"/>
    <w:rsid w:val="00432EAB"/>
    <w:rsid w:val="00433777"/>
    <w:rsid w:val="004339B2"/>
    <w:rsid w:val="004343F3"/>
    <w:rsid w:val="004345DC"/>
    <w:rsid w:val="00434D3F"/>
    <w:rsid w:val="004352C1"/>
    <w:rsid w:val="00440B58"/>
    <w:rsid w:val="00441D63"/>
    <w:rsid w:val="00442A2A"/>
    <w:rsid w:val="004440AC"/>
    <w:rsid w:val="004467E0"/>
    <w:rsid w:val="004521F1"/>
    <w:rsid w:val="0045328A"/>
    <w:rsid w:val="0045424B"/>
    <w:rsid w:val="00454F05"/>
    <w:rsid w:val="00456F4C"/>
    <w:rsid w:val="004571FA"/>
    <w:rsid w:val="00462982"/>
    <w:rsid w:val="00464BF7"/>
    <w:rsid w:val="004666BF"/>
    <w:rsid w:val="0046738B"/>
    <w:rsid w:val="00467A20"/>
    <w:rsid w:val="00470550"/>
    <w:rsid w:val="0047163A"/>
    <w:rsid w:val="00471876"/>
    <w:rsid w:val="0047293B"/>
    <w:rsid w:val="00473319"/>
    <w:rsid w:val="00473C11"/>
    <w:rsid w:val="00476032"/>
    <w:rsid w:val="004770DC"/>
    <w:rsid w:val="00477320"/>
    <w:rsid w:val="00480733"/>
    <w:rsid w:val="00481726"/>
    <w:rsid w:val="00483612"/>
    <w:rsid w:val="00484D45"/>
    <w:rsid w:val="0048723D"/>
    <w:rsid w:val="004879EB"/>
    <w:rsid w:val="004920D2"/>
    <w:rsid w:val="00495A35"/>
    <w:rsid w:val="004A0161"/>
    <w:rsid w:val="004A2056"/>
    <w:rsid w:val="004A4657"/>
    <w:rsid w:val="004A5753"/>
    <w:rsid w:val="004B11D6"/>
    <w:rsid w:val="004B1312"/>
    <w:rsid w:val="004B1821"/>
    <w:rsid w:val="004B2356"/>
    <w:rsid w:val="004B4FBD"/>
    <w:rsid w:val="004B617F"/>
    <w:rsid w:val="004B74D2"/>
    <w:rsid w:val="004C03EB"/>
    <w:rsid w:val="004C077E"/>
    <w:rsid w:val="004C0833"/>
    <w:rsid w:val="004C0F00"/>
    <w:rsid w:val="004C262A"/>
    <w:rsid w:val="004C2AAF"/>
    <w:rsid w:val="004C2DE9"/>
    <w:rsid w:val="004C2E1E"/>
    <w:rsid w:val="004C39E3"/>
    <w:rsid w:val="004C4AA6"/>
    <w:rsid w:val="004D19C0"/>
    <w:rsid w:val="004D3499"/>
    <w:rsid w:val="004D3DB2"/>
    <w:rsid w:val="004D5540"/>
    <w:rsid w:val="004D6B24"/>
    <w:rsid w:val="004D6BF1"/>
    <w:rsid w:val="004E003E"/>
    <w:rsid w:val="004E06D3"/>
    <w:rsid w:val="004E0F03"/>
    <w:rsid w:val="004E2A8D"/>
    <w:rsid w:val="004E3437"/>
    <w:rsid w:val="004E370F"/>
    <w:rsid w:val="004F39F1"/>
    <w:rsid w:val="00501636"/>
    <w:rsid w:val="00502980"/>
    <w:rsid w:val="00504CAF"/>
    <w:rsid w:val="00505D98"/>
    <w:rsid w:val="0050634A"/>
    <w:rsid w:val="005064A6"/>
    <w:rsid w:val="00507E57"/>
    <w:rsid w:val="00510F43"/>
    <w:rsid w:val="00511DC8"/>
    <w:rsid w:val="005124FD"/>
    <w:rsid w:val="00513DE6"/>
    <w:rsid w:val="00514854"/>
    <w:rsid w:val="005165BA"/>
    <w:rsid w:val="00521061"/>
    <w:rsid w:val="0052211D"/>
    <w:rsid w:val="00522708"/>
    <w:rsid w:val="00522945"/>
    <w:rsid w:val="00523E27"/>
    <w:rsid w:val="00524A2B"/>
    <w:rsid w:val="00525013"/>
    <w:rsid w:val="00525797"/>
    <w:rsid w:val="00525F30"/>
    <w:rsid w:val="00526245"/>
    <w:rsid w:val="00527DAA"/>
    <w:rsid w:val="0053000C"/>
    <w:rsid w:val="0053157C"/>
    <w:rsid w:val="005332BD"/>
    <w:rsid w:val="0053445A"/>
    <w:rsid w:val="00535E1F"/>
    <w:rsid w:val="00537A15"/>
    <w:rsid w:val="0054002C"/>
    <w:rsid w:val="005400C2"/>
    <w:rsid w:val="00542D9F"/>
    <w:rsid w:val="00544BCC"/>
    <w:rsid w:val="0054544C"/>
    <w:rsid w:val="00545D22"/>
    <w:rsid w:val="005460F9"/>
    <w:rsid w:val="00547300"/>
    <w:rsid w:val="0054762A"/>
    <w:rsid w:val="00552623"/>
    <w:rsid w:val="00553874"/>
    <w:rsid w:val="005551C0"/>
    <w:rsid w:val="00555CF4"/>
    <w:rsid w:val="0055717C"/>
    <w:rsid w:val="005578E8"/>
    <w:rsid w:val="005602B7"/>
    <w:rsid w:val="00561ADD"/>
    <w:rsid w:val="00561E00"/>
    <w:rsid w:val="00563130"/>
    <w:rsid w:val="005636F9"/>
    <w:rsid w:val="005649A1"/>
    <w:rsid w:val="00565139"/>
    <w:rsid w:val="005670FD"/>
    <w:rsid w:val="00567B06"/>
    <w:rsid w:val="005705CF"/>
    <w:rsid w:val="005706C7"/>
    <w:rsid w:val="00570FA2"/>
    <w:rsid w:val="00574167"/>
    <w:rsid w:val="00575812"/>
    <w:rsid w:val="00576724"/>
    <w:rsid w:val="00577763"/>
    <w:rsid w:val="005803B6"/>
    <w:rsid w:val="00580F17"/>
    <w:rsid w:val="00580FD9"/>
    <w:rsid w:val="00581F98"/>
    <w:rsid w:val="00582439"/>
    <w:rsid w:val="00585CE0"/>
    <w:rsid w:val="00594C89"/>
    <w:rsid w:val="00597AFB"/>
    <w:rsid w:val="005A0BEC"/>
    <w:rsid w:val="005A128D"/>
    <w:rsid w:val="005A285D"/>
    <w:rsid w:val="005A41D9"/>
    <w:rsid w:val="005A52BF"/>
    <w:rsid w:val="005A7A72"/>
    <w:rsid w:val="005B0CD1"/>
    <w:rsid w:val="005B0EEE"/>
    <w:rsid w:val="005B1183"/>
    <w:rsid w:val="005B204B"/>
    <w:rsid w:val="005B3408"/>
    <w:rsid w:val="005B4CE1"/>
    <w:rsid w:val="005C0062"/>
    <w:rsid w:val="005C0F6A"/>
    <w:rsid w:val="005C3375"/>
    <w:rsid w:val="005C3AC9"/>
    <w:rsid w:val="005D00D4"/>
    <w:rsid w:val="005D24CC"/>
    <w:rsid w:val="005D2D41"/>
    <w:rsid w:val="005D3184"/>
    <w:rsid w:val="005D3695"/>
    <w:rsid w:val="005D4792"/>
    <w:rsid w:val="005D4B04"/>
    <w:rsid w:val="005D4D56"/>
    <w:rsid w:val="005D52C1"/>
    <w:rsid w:val="005D798C"/>
    <w:rsid w:val="005D7A77"/>
    <w:rsid w:val="005D7F9F"/>
    <w:rsid w:val="005E0088"/>
    <w:rsid w:val="005E1CBC"/>
    <w:rsid w:val="005E58B3"/>
    <w:rsid w:val="005F008F"/>
    <w:rsid w:val="005F28E2"/>
    <w:rsid w:val="005F3DDA"/>
    <w:rsid w:val="00600434"/>
    <w:rsid w:val="006009C1"/>
    <w:rsid w:val="00601181"/>
    <w:rsid w:val="0060118E"/>
    <w:rsid w:val="006014B9"/>
    <w:rsid w:val="00604623"/>
    <w:rsid w:val="00606E3B"/>
    <w:rsid w:val="00607B35"/>
    <w:rsid w:val="00610FC4"/>
    <w:rsid w:val="00611D24"/>
    <w:rsid w:val="00612306"/>
    <w:rsid w:val="0061234F"/>
    <w:rsid w:val="006129F8"/>
    <w:rsid w:val="00612D58"/>
    <w:rsid w:val="00615346"/>
    <w:rsid w:val="0061774A"/>
    <w:rsid w:val="00622423"/>
    <w:rsid w:val="006232A9"/>
    <w:rsid w:val="00624E56"/>
    <w:rsid w:val="0062582C"/>
    <w:rsid w:val="00626C6A"/>
    <w:rsid w:val="006304D9"/>
    <w:rsid w:val="006305CF"/>
    <w:rsid w:val="00631624"/>
    <w:rsid w:val="00631A0C"/>
    <w:rsid w:val="0063219B"/>
    <w:rsid w:val="00633ADE"/>
    <w:rsid w:val="00636F0B"/>
    <w:rsid w:val="0063766D"/>
    <w:rsid w:val="00637F15"/>
    <w:rsid w:val="0064059D"/>
    <w:rsid w:val="006421C2"/>
    <w:rsid w:val="00650A1A"/>
    <w:rsid w:val="006541EF"/>
    <w:rsid w:val="00654B9B"/>
    <w:rsid w:val="00655826"/>
    <w:rsid w:val="0066257F"/>
    <w:rsid w:val="006632C7"/>
    <w:rsid w:val="00663FD2"/>
    <w:rsid w:val="0066579C"/>
    <w:rsid w:val="00666804"/>
    <w:rsid w:val="0066681C"/>
    <w:rsid w:val="006702B6"/>
    <w:rsid w:val="00671BD2"/>
    <w:rsid w:val="00671CBD"/>
    <w:rsid w:val="00672D8E"/>
    <w:rsid w:val="0067380A"/>
    <w:rsid w:val="00674A43"/>
    <w:rsid w:val="0067730C"/>
    <w:rsid w:val="00683481"/>
    <w:rsid w:val="006846D1"/>
    <w:rsid w:val="006861DE"/>
    <w:rsid w:val="0068634C"/>
    <w:rsid w:val="0068686F"/>
    <w:rsid w:val="00687A0F"/>
    <w:rsid w:val="006918AA"/>
    <w:rsid w:val="006931A7"/>
    <w:rsid w:val="00695998"/>
    <w:rsid w:val="0069757A"/>
    <w:rsid w:val="00697663"/>
    <w:rsid w:val="006A24AA"/>
    <w:rsid w:val="006A3C03"/>
    <w:rsid w:val="006A6CBC"/>
    <w:rsid w:val="006A6CC8"/>
    <w:rsid w:val="006A7B65"/>
    <w:rsid w:val="006B0980"/>
    <w:rsid w:val="006B1118"/>
    <w:rsid w:val="006B142B"/>
    <w:rsid w:val="006B338F"/>
    <w:rsid w:val="006B55A2"/>
    <w:rsid w:val="006B5813"/>
    <w:rsid w:val="006B64D0"/>
    <w:rsid w:val="006B6C06"/>
    <w:rsid w:val="006B7C0E"/>
    <w:rsid w:val="006C1908"/>
    <w:rsid w:val="006C339A"/>
    <w:rsid w:val="006C3CF9"/>
    <w:rsid w:val="006C648F"/>
    <w:rsid w:val="006C6D4E"/>
    <w:rsid w:val="006D03E5"/>
    <w:rsid w:val="006D14EE"/>
    <w:rsid w:val="006D3473"/>
    <w:rsid w:val="006D3EB0"/>
    <w:rsid w:val="006D4F44"/>
    <w:rsid w:val="006D55AD"/>
    <w:rsid w:val="006D587F"/>
    <w:rsid w:val="006D76F2"/>
    <w:rsid w:val="006D7EAB"/>
    <w:rsid w:val="006E0144"/>
    <w:rsid w:val="006E0942"/>
    <w:rsid w:val="006E3402"/>
    <w:rsid w:val="006E63C0"/>
    <w:rsid w:val="006E6B65"/>
    <w:rsid w:val="006F1618"/>
    <w:rsid w:val="006F26E3"/>
    <w:rsid w:val="006F3B2D"/>
    <w:rsid w:val="006F3EC6"/>
    <w:rsid w:val="006F5A65"/>
    <w:rsid w:val="006F6F3F"/>
    <w:rsid w:val="007006A1"/>
    <w:rsid w:val="007019B1"/>
    <w:rsid w:val="0070208A"/>
    <w:rsid w:val="007028C1"/>
    <w:rsid w:val="00702913"/>
    <w:rsid w:val="00704182"/>
    <w:rsid w:val="007111DE"/>
    <w:rsid w:val="0071269B"/>
    <w:rsid w:val="00714321"/>
    <w:rsid w:val="00716CFB"/>
    <w:rsid w:val="00716DFB"/>
    <w:rsid w:val="00716E0F"/>
    <w:rsid w:val="0071784E"/>
    <w:rsid w:val="00717A30"/>
    <w:rsid w:val="00721D2E"/>
    <w:rsid w:val="007223FD"/>
    <w:rsid w:val="00722CDB"/>
    <w:rsid w:val="0072389D"/>
    <w:rsid w:val="00723D6B"/>
    <w:rsid w:val="00726FCE"/>
    <w:rsid w:val="00730E41"/>
    <w:rsid w:val="007344EE"/>
    <w:rsid w:val="0073667D"/>
    <w:rsid w:val="00736EF7"/>
    <w:rsid w:val="00737BC2"/>
    <w:rsid w:val="00737CAA"/>
    <w:rsid w:val="00740148"/>
    <w:rsid w:val="007412F7"/>
    <w:rsid w:val="00741984"/>
    <w:rsid w:val="00742E01"/>
    <w:rsid w:val="007434F7"/>
    <w:rsid w:val="0074492D"/>
    <w:rsid w:val="00746496"/>
    <w:rsid w:val="00746725"/>
    <w:rsid w:val="0075033C"/>
    <w:rsid w:val="0075078B"/>
    <w:rsid w:val="007511C7"/>
    <w:rsid w:val="00753AE3"/>
    <w:rsid w:val="00755B7D"/>
    <w:rsid w:val="007560BA"/>
    <w:rsid w:val="007575DB"/>
    <w:rsid w:val="00757CAD"/>
    <w:rsid w:val="0076033F"/>
    <w:rsid w:val="00760FAC"/>
    <w:rsid w:val="007611D1"/>
    <w:rsid w:val="0076485A"/>
    <w:rsid w:val="007652CB"/>
    <w:rsid w:val="007701FE"/>
    <w:rsid w:val="007731F5"/>
    <w:rsid w:val="0077588B"/>
    <w:rsid w:val="007762D3"/>
    <w:rsid w:val="007767B9"/>
    <w:rsid w:val="007823DE"/>
    <w:rsid w:val="00784212"/>
    <w:rsid w:val="0078600F"/>
    <w:rsid w:val="007926E7"/>
    <w:rsid w:val="00792A0D"/>
    <w:rsid w:val="007978F2"/>
    <w:rsid w:val="007A07B4"/>
    <w:rsid w:val="007A118C"/>
    <w:rsid w:val="007A38EC"/>
    <w:rsid w:val="007A3A91"/>
    <w:rsid w:val="007A78AD"/>
    <w:rsid w:val="007A7E51"/>
    <w:rsid w:val="007B1B7A"/>
    <w:rsid w:val="007B1D6F"/>
    <w:rsid w:val="007B3633"/>
    <w:rsid w:val="007B52B3"/>
    <w:rsid w:val="007B5920"/>
    <w:rsid w:val="007C04C3"/>
    <w:rsid w:val="007C08E5"/>
    <w:rsid w:val="007C2500"/>
    <w:rsid w:val="007C44EE"/>
    <w:rsid w:val="007C6D95"/>
    <w:rsid w:val="007D3A63"/>
    <w:rsid w:val="007D4B92"/>
    <w:rsid w:val="007D4E42"/>
    <w:rsid w:val="007D4FAC"/>
    <w:rsid w:val="007D5B7E"/>
    <w:rsid w:val="007D6886"/>
    <w:rsid w:val="007D6E90"/>
    <w:rsid w:val="007D7D0B"/>
    <w:rsid w:val="007E5210"/>
    <w:rsid w:val="007E5B9B"/>
    <w:rsid w:val="007E6986"/>
    <w:rsid w:val="007F6C97"/>
    <w:rsid w:val="00800437"/>
    <w:rsid w:val="008019F1"/>
    <w:rsid w:val="00801ED6"/>
    <w:rsid w:val="0080289A"/>
    <w:rsid w:val="00804C3B"/>
    <w:rsid w:val="008055E5"/>
    <w:rsid w:val="008063EB"/>
    <w:rsid w:val="00806E50"/>
    <w:rsid w:val="008117F5"/>
    <w:rsid w:val="00812D9B"/>
    <w:rsid w:val="00813D23"/>
    <w:rsid w:val="00814134"/>
    <w:rsid w:val="00816D4B"/>
    <w:rsid w:val="00820A72"/>
    <w:rsid w:val="00821C59"/>
    <w:rsid w:val="00822D0E"/>
    <w:rsid w:val="00826A3E"/>
    <w:rsid w:val="0082794E"/>
    <w:rsid w:val="00827FB6"/>
    <w:rsid w:val="00843FD3"/>
    <w:rsid w:val="00846F14"/>
    <w:rsid w:val="008508B6"/>
    <w:rsid w:val="00850CC8"/>
    <w:rsid w:val="0085177A"/>
    <w:rsid w:val="00852AC5"/>
    <w:rsid w:val="00856982"/>
    <w:rsid w:val="00856E97"/>
    <w:rsid w:val="00857B92"/>
    <w:rsid w:val="00857C96"/>
    <w:rsid w:val="00857FB6"/>
    <w:rsid w:val="00860B47"/>
    <w:rsid w:val="00861EDF"/>
    <w:rsid w:val="00862431"/>
    <w:rsid w:val="00864215"/>
    <w:rsid w:val="008646EE"/>
    <w:rsid w:val="00866054"/>
    <w:rsid w:val="008664A6"/>
    <w:rsid w:val="008704C7"/>
    <w:rsid w:val="00870F39"/>
    <w:rsid w:val="00872C5E"/>
    <w:rsid w:val="00872E00"/>
    <w:rsid w:val="0087367D"/>
    <w:rsid w:val="00873A7F"/>
    <w:rsid w:val="008740A8"/>
    <w:rsid w:val="00874CEF"/>
    <w:rsid w:val="00877EDA"/>
    <w:rsid w:val="00880964"/>
    <w:rsid w:val="00881368"/>
    <w:rsid w:val="008848E3"/>
    <w:rsid w:val="00886F55"/>
    <w:rsid w:val="00890BCD"/>
    <w:rsid w:val="00893D23"/>
    <w:rsid w:val="008944BD"/>
    <w:rsid w:val="00896BBD"/>
    <w:rsid w:val="00897F2E"/>
    <w:rsid w:val="008A15C7"/>
    <w:rsid w:val="008A3497"/>
    <w:rsid w:val="008A4608"/>
    <w:rsid w:val="008A471E"/>
    <w:rsid w:val="008A575B"/>
    <w:rsid w:val="008B009B"/>
    <w:rsid w:val="008B0854"/>
    <w:rsid w:val="008B0A16"/>
    <w:rsid w:val="008B2368"/>
    <w:rsid w:val="008B2755"/>
    <w:rsid w:val="008B36BA"/>
    <w:rsid w:val="008B4FF2"/>
    <w:rsid w:val="008B5203"/>
    <w:rsid w:val="008B5905"/>
    <w:rsid w:val="008C2918"/>
    <w:rsid w:val="008C378C"/>
    <w:rsid w:val="008C43FF"/>
    <w:rsid w:val="008C4789"/>
    <w:rsid w:val="008C7B08"/>
    <w:rsid w:val="008D166A"/>
    <w:rsid w:val="008D2B98"/>
    <w:rsid w:val="008D36A5"/>
    <w:rsid w:val="008D3F52"/>
    <w:rsid w:val="008D5BDD"/>
    <w:rsid w:val="008D68CC"/>
    <w:rsid w:val="008D6C35"/>
    <w:rsid w:val="008D7113"/>
    <w:rsid w:val="008D75E6"/>
    <w:rsid w:val="008E27AC"/>
    <w:rsid w:val="008E3FB2"/>
    <w:rsid w:val="008E424E"/>
    <w:rsid w:val="008E58FA"/>
    <w:rsid w:val="008E65C6"/>
    <w:rsid w:val="008F0EF4"/>
    <w:rsid w:val="008F1A9E"/>
    <w:rsid w:val="008F478B"/>
    <w:rsid w:val="008F53E0"/>
    <w:rsid w:val="008F5F58"/>
    <w:rsid w:val="009015E9"/>
    <w:rsid w:val="00901775"/>
    <w:rsid w:val="00903EF1"/>
    <w:rsid w:val="0091130B"/>
    <w:rsid w:val="00914F0D"/>
    <w:rsid w:val="009153C4"/>
    <w:rsid w:val="00915461"/>
    <w:rsid w:val="00924B44"/>
    <w:rsid w:val="00926457"/>
    <w:rsid w:val="00926E67"/>
    <w:rsid w:val="00927BB4"/>
    <w:rsid w:val="009302F6"/>
    <w:rsid w:val="00930303"/>
    <w:rsid w:val="00930AB8"/>
    <w:rsid w:val="00930D5C"/>
    <w:rsid w:val="009314B6"/>
    <w:rsid w:val="009323CD"/>
    <w:rsid w:val="009325F4"/>
    <w:rsid w:val="00934665"/>
    <w:rsid w:val="009356DB"/>
    <w:rsid w:val="00936241"/>
    <w:rsid w:val="00936BE4"/>
    <w:rsid w:val="009377A5"/>
    <w:rsid w:val="009464A8"/>
    <w:rsid w:val="009509A5"/>
    <w:rsid w:val="00950F7F"/>
    <w:rsid w:val="009525BE"/>
    <w:rsid w:val="00952F32"/>
    <w:rsid w:val="00953855"/>
    <w:rsid w:val="009547A2"/>
    <w:rsid w:val="0095706C"/>
    <w:rsid w:val="00960AEC"/>
    <w:rsid w:val="00960D92"/>
    <w:rsid w:val="00961906"/>
    <w:rsid w:val="0096414C"/>
    <w:rsid w:val="009644C2"/>
    <w:rsid w:val="00964BC8"/>
    <w:rsid w:val="00964C12"/>
    <w:rsid w:val="00966285"/>
    <w:rsid w:val="00971020"/>
    <w:rsid w:val="00971E9B"/>
    <w:rsid w:val="00972246"/>
    <w:rsid w:val="00972327"/>
    <w:rsid w:val="00972643"/>
    <w:rsid w:val="0097340C"/>
    <w:rsid w:val="009758A4"/>
    <w:rsid w:val="009775B7"/>
    <w:rsid w:val="00981675"/>
    <w:rsid w:val="0098170A"/>
    <w:rsid w:val="00981A05"/>
    <w:rsid w:val="009835D2"/>
    <w:rsid w:val="00983F8B"/>
    <w:rsid w:val="009841A0"/>
    <w:rsid w:val="009842AB"/>
    <w:rsid w:val="00986565"/>
    <w:rsid w:val="00986EED"/>
    <w:rsid w:val="009874D2"/>
    <w:rsid w:val="0098794D"/>
    <w:rsid w:val="00987D9A"/>
    <w:rsid w:val="00991027"/>
    <w:rsid w:val="009916E6"/>
    <w:rsid w:val="0099355C"/>
    <w:rsid w:val="009939C9"/>
    <w:rsid w:val="00993A17"/>
    <w:rsid w:val="009964B3"/>
    <w:rsid w:val="009A0E6E"/>
    <w:rsid w:val="009A0FE9"/>
    <w:rsid w:val="009A4A4F"/>
    <w:rsid w:val="009A5C12"/>
    <w:rsid w:val="009A5D93"/>
    <w:rsid w:val="009B3A0A"/>
    <w:rsid w:val="009B6E92"/>
    <w:rsid w:val="009C60D9"/>
    <w:rsid w:val="009C6183"/>
    <w:rsid w:val="009D51FB"/>
    <w:rsid w:val="009D7750"/>
    <w:rsid w:val="009E0353"/>
    <w:rsid w:val="009E0C38"/>
    <w:rsid w:val="009E0D43"/>
    <w:rsid w:val="009E4CF0"/>
    <w:rsid w:val="009E5428"/>
    <w:rsid w:val="009E5949"/>
    <w:rsid w:val="009E606C"/>
    <w:rsid w:val="009E6118"/>
    <w:rsid w:val="009E6CCE"/>
    <w:rsid w:val="009F09E9"/>
    <w:rsid w:val="009F2F2F"/>
    <w:rsid w:val="009F3155"/>
    <w:rsid w:val="009F32DE"/>
    <w:rsid w:val="009F3ECD"/>
    <w:rsid w:val="009F4707"/>
    <w:rsid w:val="009F4742"/>
    <w:rsid w:val="009F495D"/>
    <w:rsid w:val="009F4F5D"/>
    <w:rsid w:val="009F65E8"/>
    <w:rsid w:val="00A044E2"/>
    <w:rsid w:val="00A046C9"/>
    <w:rsid w:val="00A075B4"/>
    <w:rsid w:val="00A10A1F"/>
    <w:rsid w:val="00A11350"/>
    <w:rsid w:val="00A1230D"/>
    <w:rsid w:val="00A13D0E"/>
    <w:rsid w:val="00A14805"/>
    <w:rsid w:val="00A1584A"/>
    <w:rsid w:val="00A17ED3"/>
    <w:rsid w:val="00A254C7"/>
    <w:rsid w:val="00A26A2A"/>
    <w:rsid w:val="00A27011"/>
    <w:rsid w:val="00A2782A"/>
    <w:rsid w:val="00A3193B"/>
    <w:rsid w:val="00A323AC"/>
    <w:rsid w:val="00A32941"/>
    <w:rsid w:val="00A32C5F"/>
    <w:rsid w:val="00A33794"/>
    <w:rsid w:val="00A34082"/>
    <w:rsid w:val="00A3486A"/>
    <w:rsid w:val="00A35375"/>
    <w:rsid w:val="00A3614C"/>
    <w:rsid w:val="00A372CB"/>
    <w:rsid w:val="00A407E3"/>
    <w:rsid w:val="00A40FD1"/>
    <w:rsid w:val="00A42DE3"/>
    <w:rsid w:val="00A450EB"/>
    <w:rsid w:val="00A505C2"/>
    <w:rsid w:val="00A5301B"/>
    <w:rsid w:val="00A54D05"/>
    <w:rsid w:val="00A54F34"/>
    <w:rsid w:val="00A55D08"/>
    <w:rsid w:val="00A576D9"/>
    <w:rsid w:val="00A60BEE"/>
    <w:rsid w:val="00A62052"/>
    <w:rsid w:val="00A63191"/>
    <w:rsid w:val="00A6488A"/>
    <w:rsid w:val="00A65D2F"/>
    <w:rsid w:val="00A667BF"/>
    <w:rsid w:val="00A70C41"/>
    <w:rsid w:val="00A71204"/>
    <w:rsid w:val="00A71D56"/>
    <w:rsid w:val="00A71F00"/>
    <w:rsid w:val="00A7407B"/>
    <w:rsid w:val="00A7596E"/>
    <w:rsid w:val="00A776F2"/>
    <w:rsid w:val="00A77CCB"/>
    <w:rsid w:val="00A81067"/>
    <w:rsid w:val="00A82A8A"/>
    <w:rsid w:val="00A86262"/>
    <w:rsid w:val="00A86B00"/>
    <w:rsid w:val="00A86BB5"/>
    <w:rsid w:val="00A918A1"/>
    <w:rsid w:val="00A91B05"/>
    <w:rsid w:val="00A9260E"/>
    <w:rsid w:val="00A945F5"/>
    <w:rsid w:val="00A95327"/>
    <w:rsid w:val="00A97BC0"/>
    <w:rsid w:val="00AA0A2F"/>
    <w:rsid w:val="00AA289F"/>
    <w:rsid w:val="00AA3043"/>
    <w:rsid w:val="00AA391F"/>
    <w:rsid w:val="00AA64A5"/>
    <w:rsid w:val="00AA6777"/>
    <w:rsid w:val="00AB0F24"/>
    <w:rsid w:val="00AB1454"/>
    <w:rsid w:val="00AB1E3F"/>
    <w:rsid w:val="00AB4632"/>
    <w:rsid w:val="00AB7584"/>
    <w:rsid w:val="00AC270E"/>
    <w:rsid w:val="00AC29F1"/>
    <w:rsid w:val="00AC2CDC"/>
    <w:rsid w:val="00AC3EA1"/>
    <w:rsid w:val="00AC43E7"/>
    <w:rsid w:val="00AC4957"/>
    <w:rsid w:val="00AC59D5"/>
    <w:rsid w:val="00AC5F2D"/>
    <w:rsid w:val="00AC6A7C"/>
    <w:rsid w:val="00AC71C7"/>
    <w:rsid w:val="00AC7675"/>
    <w:rsid w:val="00AD192A"/>
    <w:rsid w:val="00AD6F29"/>
    <w:rsid w:val="00AD749D"/>
    <w:rsid w:val="00AD7962"/>
    <w:rsid w:val="00AD796B"/>
    <w:rsid w:val="00AE22D0"/>
    <w:rsid w:val="00AE2EF4"/>
    <w:rsid w:val="00AE30A9"/>
    <w:rsid w:val="00AE66C4"/>
    <w:rsid w:val="00AE6DC8"/>
    <w:rsid w:val="00AE72D2"/>
    <w:rsid w:val="00AE7D2C"/>
    <w:rsid w:val="00AF2DEF"/>
    <w:rsid w:val="00AF3455"/>
    <w:rsid w:val="00AF3F2B"/>
    <w:rsid w:val="00AF3FE4"/>
    <w:rsid w:val="00AF460A"/>
    <w:rsid w:val="00B00C28"/>
    <w:rsid w:val="00B0120A"/>
    <w:rsid w:val="00B016D5"/>
    <w:rsid w:val="00B016D9"/>
    <w:rsid w:val="00B0185D"/>
    <w:rsid w:val="00B05526"/>
    <w:rsid w:val="00B05C36"/>
    <w:rsid w:val="00B07018"/>
    <w:rsid w:val="00B102D7"/>
    <w:rsid w:val="00B10806"/>
    <w:rsid w:val="00B11CE6"/>
    <w:rsid w:val="00B11DCA"/>
    <w:rsid w:val="00B11FAF"/>
    <w:rsid w:val="00B204AF"/>
    <w:rsid w:val="00B2070F"/>
    <w:rsid w:val="00B2160E"/>
    <w:rsid w:val="00B21952"/>
    <w:rsid w:val="00B237B2"/>
    <w:rsid w:val="00B26ED1"/>
    <w:rsid w:val="00B3164F"/>
    <w:rsid w:val="00B31823"/>
    <w:rsid w:val="00B319C8"/>
    <w:rsid w:val="00B32AFF"/>
    <w:rsid w:val="00B334FE"/>
    <w:rsid w:val="00B35DA6"/>
    <w:rsid w:val="00B36097"/>
    <w:rsid w:val="00B3689D"/>
    <w:rsid w:val="00B36CEB"/>
    <w:rsid w:val="00B37420"/>
    <w:rsid w:val="00B410F4"/>
    <w:rsid w:val="00B41A30"/>
    <w:rsid w:val="00B4320A"/>
    <w:rsid w:val="00B44B3C"/>
    <w:rsid w:val="00B45337"/>
    <w:rsid w:val="00B4703F"/>
    <w:rsid w:val="00B5001B"/>
    <w:rsid w:val="00B50BB1"/>
    <w:rsid w:val="00B5271A"/>
    <w:rsid w:val="00B52D47"/>
    <w:rsid w:val="00B535DD"/>
    <w:rsid w:val="00B539A2"/>
    <w:rsid w:val="00B57118"/>
    <w:rsid w:val="00B6134D"/>
    <w:rsid w:val="00B63968"/>
    <w:rsid w:val="00B64685"/>
    <w:rsid w:val="00B64FBE"/>
    <w:rsid w:val="00B65516"/>
    <w:rsid w:val="00B664B5"/>
    <w:rsid w:val="00B6751A"/>
    <w:rsid w:val="00B72A7E"/>
    <w:rsid w:val="00B766B9"/>
    <w:rsid w:val="00B7725D"/>
    <w:rsid w:val="00B802F7"/>
    <w:rsid w:val="00B83F11"/>
    <w:rsid w:val="00B85723"/>
    <w:rsid w:val="00B862D8"/>
    <w:rsid w:val="00B876E3"/>
    <w:rsid w:val="00B8773B"/>
    <w:rsid w:val="00B900DC"/>
    <w:rsid w:val="00B90DE9"/>
    <w:rsid w:val="00B91C08"/>
    <w:rsid w:val="00B9329C"/>
    <w:rsid w:val="00B9349F"/>
    <w:rsid w:val="00B94D82"/>
    <w:rsid w:val="00B95AD6"/>
    <w:rsid w:val="00B9718A"/>
    <w:rsid w:val="00B97A3C"/>
    <w:rsid w:val="00B97A80"/>
    <w:rsid w:val="00BA2015"/>
    <w:rsid w:val="00BA2889"/>
    <w:rsid w:val="00BA32E2"/>
    <w:rsid w:val="00BA443B"/>
    <w:rsid w:val="00BA6BB0"/>
    <w:rsid w:val="00BB10E5"/>
    <w:rsid w:val="00BB276F"/>
    <w:rsid w:val="00BB3E2F"/>
    <w:rsid w:val="00BB6925"/>
    <w:rsid w:val="00BC00EF"/>
    <w:rsid w:val="00BC3E58"/>
    <w:rsid w:val="00BC4C2E"/>
    <w:rsid w:val="00BC6D49"/>
    <w:rsid w:val="00BD04B9"/>
    <w:rsid w:val="00BD261A"/>
    <w:rsid w:val="00BD504B"/>
    <w:rsid w:val="00BD6061"/>
    <w:rsid w:val="00BD6B50"/>
    <w:rsid w:val="00BD74EB"/>
    <w:rsid w:val="00BE0E7C"/>
    <w:rsid w:val="00BE23AE"/>
    <w:rsid w:val="00BE3A80"/>
    <w:rsid w:val="00BE49A9"/>
    <w:rsid w:val="00BE534F"/>
    <w:rsid w:val="00BE5835"/>
    <w:rsid w:val="00BE63D5"/>
    <w:rsid w:val="00BE718C"/>
    <w:rsid w:val="00BF3BB2"/>
    <w:rsid w:val="00BF3FAD"/>
    <w:rsid w:val="00BF436B"/>
    <w:rsid w:val="00BF4C00"/>
    <w:rsid w:val="00BF6B95"/>
    <w:rsid w:val="00BF7897"/>
    <w:rsid w:val="00C0020E"/>
    <w:rsid w:val="00C0289D"/>
    <w:rsid w:val="00C02D1A"/>
    <w:rsid w:val="00C04AEF"/>
    <w:rsid w:val="00C04D00"/>
    <w:rsid w:val="00C04E24"/>
    <w:rsid w:val="00C05FD7"/>
    <w:rsid w:val="00C06AF8"/>
    <w:rsid w:val="00C06DDA"/>
    <w:rsid w:val="00C07B4B"/>
    <w:rsid w:val="00C10278"/>
    <w:rsid w:val="00C12BA9"/>
    <w:rsid w:val="00C134B8"/>
    <w:rsid w:val="00C14B28"/>
    <w:rsid w:val="00C14C7F"/>
    <w:rsid w:val="00C14D86"/>
    <w:rsid w:val="00C14E6E"/>
    <w:rsid w:val="00C1774C"/>
    <w:rsid w:val="00C21FB6"/>
    <w:rsid w:val="00C239EF"/>
    <w:rsid w:val="00C2513B"/>
    <w:rsid w:val="00C30765"/>
    <w:rsid w:val="00C32BAA"/>
    <w:rsid w:val="00C333FB"/>
    <w:rsid w:val="00C34491"/>
    <w:rsid w:val="00C3674F"/>
    <w:rsid w:val="00C37825"/>
    <w:rsid w:val="00C37BD4"/>
    <w:rsid w:val="00C40D4C"/>
    <w:rsid w:val="00C44952"/>
    <w:rsid w:val="00C44AB5"/>
    <w:rsid w:val="00C45C8E"/>
    <w:rsid w:val="00C46A9E"/>
    <w:rsid w:val="00C46FBE"/>
    <w:rsid w:val="00C47397"/>
    <w:rsid w:val="00C51195"/>
    <w:rsid w:val="00C51685"/>
    <w:rsid w:val="00C55D26"/>
    <w:rsid w:val="00C56827"/>
    <w:rsid w:val="00C607C3"/>
    <w:rsid w:val="00C6320C"/>
    <w:rsid w:val="00C65A0D"/>
    <w:rsid w:val="00C65F3F"/>
    <w:rsid w:val="00C66AB0"/>
    <w:rsid w:val="00C6778F"/>
    <w:rsid w:val="00C70976"/>
    <w:rsid w:val="00C71010"/>
    <w:rsid w:val="00C71B63"/>
    <w:rsid w:val="00C739F0"/>
    <w:rsid w:val="00C73E46"/>
    <w:rsid w:val="00C7462E"/>
    <w:rsid w:val="00C74D20"/>
    <w:rsid w:val="00C7555B"/>
    <w:rsid w:val="00C7707F"/>
    <w:rsid w:val="00C77572"/>
    <w:rsid w:val="00C801D4"/>
    <w:rsid w:val="00C83FF6"/>
    <w:rsid w:val="00C84665"/>
    <w:rsid w:val="00C9051D"/>
    <w:rsid w:val="00C90F34"/>
    <w:rsid w:val="00C91409"/>
    <w:rsid w:val="00C91C90"/>
    <w:rsid w:val="00C92535"/>
    <w:rsid w:val="00C9276E"/>
    <w:rsid w:val="00C95344"/>
    <w:rsid w:val="00C95F19"/>
    <w:rsid w:val="00C96E5E"/>
    <w:rsid w:val="00CA1482"/>
    <w:rsid w:val="00CA1714"/>
    <w:rsid w:val="00CA4CA9"/>
    <w:rsid w:val="00CA7019"/>
    <w:rsid w:val="00CB1292"/>
    <w:rsid w:val="00CB155F"/>
    <w:rsid w:val="00CB2C1A"/>
    <w:rsid w:val="00CB45FA"/>
    <w:rsid w:val="00CB47A6"/>
    <w:rsid w:val="00CB4EB9"/>
    <w:rsid w:val="00CB5103"/>
    <w:rsid w:val="00CC0087"/>
    <w:rsid w:val="00CC01CB"/>
    <w:rsid w:val="00CC04B8"/>
    <w:rsid w:val="00CC28F3"/>
    <w:rsid w:val="00CC5FD7"/>
    <w:rsid w:val="00CD0060"/>
    <w:rsid w:val="00CD0494"/>
    <w:rsid w:val="00CD50BE"/>
    <w:rsid w:val="00CD66E7"/>
    <w:rsid w:val="00CD6783"/>
    <w:rsid w:val="00CE0EBA"/>
    <w:rsid w:val="00CE125C"/>
    <w:rsid w:val="00CE12C3"/>
    <w:rsid w:val="00CE2024"/>
    <w:rsid w:val="00CE457F"/>
    <w:rsid w:val="00CE5C2F"/>
    <w:rsid w:val="00CF2465"/>
    <w:rsid w:val="00CF2B8C"/>
    <w:rsid w:val="00CF3843"/>
    <w:rsid w:val="00CF3F53"/>
    <w:rsid w:val="00CF50B0"/>
    <w:rsid w:val="00CF62A9"/>
    <w:rsid w:val="00CF66A7"/>
    <w:rsid w:val="00CF6E0F"/>
    <w:rsid w:val="00D0284A"/>
    <w:rsid w:val="00D04B31"/>
    <w:rsid w:val="00D06428"/>
    <w:rsid w:val="00D06ADA"/>
    <w:rsid w:val="00D06D37"/>
    <w:rsid w:val="00D073C5"/>
    <w:rsid w:val="00D12316"/>
    <w:rsid w:val="00D1391D"/>
    <w:rsid w:val="00D151EF"/>
    <w:rsid w:val="00D15A80"/>
    <w:rsid w:val="00D16205"/>
    <w:rsid w:val="00D17E3E"/>
    <w:rsid w:val="00D216A9"/>
    <w:rsid w:val="00D22D1E"/>
    <w:rsid w:val="00D22D63"/>
    <w:rsid w:val="00D27EE6"/>
    <w:rsid w:val="00D3295C"/>
    <w:rsid w:val="00D33700"/>
    <w:rsid w:val="00D33A14"/>
    <w:rsid w:val="00D33B7D"/>
    <w:rsid w:val="00D35613"/>
    <w:rsid w:val="00D435E8"/>
    <w:rsid w:val="00D43DB5"/>
    <w:rsid w:val="00D44060"/>
    <w:rsid w:val="00D44723"/>
    <w:rsid w:val="00D4656F"/>
    <w:rsid w:val="00D47038"/>
    <w:rsid w:val="00D5219C"/>
    <w:rsid w:val="00D53012"/>
    <w:rsid w:val="00D54946"/>
    <w:rsid w:val="00D54AC1"/>
    <w:rsid w:val="00D55534"/>
    <w:rsid w:val="00D55A74"/>
    <w:rsid w:val="00D55F1C"/>
    <w:rsid w:val="00D573F1"/>
    <w:rsid w:val="00D604C6"/>
    <w:rsid w:val="00D60FBF"/>
    <w:rsid w:val="00D6436B"/>
    <w:rsid w:val="00D64561"/>
    <w:rsid w:val="00D65007"/>
    <w:rsid w:val="00D65E9F"/>
    <w:rsid w:val="00D71A5B"/>
    <w:rsid w:val="00D721C8"/>
    <w:rsid w:val="00D7430F"/>
    <w:rsid w:val="00D74922"/>
    <w:rsid w:val="00D74D81"/>
    <w:rsid w:val="00D777A1"/>
    <w:rsid w:val="00D802D3"/>
    <w:rsid w:val="00D818FC"/>
    <w:rsid w:val="00D83493"/>
    <w:rsid w:val="00D840CF"/>
    <w:rsid w:val="00D84267"/>
    <w:rsid w:val="00D8526E"/>
    <w:rsid w:val="00D87080"/>
    <w:rsid w:val="00D916F1"/>
    <w:rsid w:val="00D92031"/>
    <w:rsid w:val="00D92A5A"/>
    <w:rsid w:val="00D930B9"/>
    <w:rsid w:val="00D933C6"/>
    <w:rsid w:val="00D94654"/>
    <w:rsid w:val="00D946E4"/>
    <w:rsid w:val="00D948A0"/>
    <w:rsid w:val="00D94B56"/>
    <w:rsid w:val="00D963FE"/>
    <w:rsid w:val="00D97174"/>
    <w:rsid w:val="00D97F9D"/>
    <w:rsid w:val="00DA2EAC"/>
    <w:rsid w:val="00DA6867"/>
    <w:rsid w:val="00DA76E0"/>
    <w:rsid w:val="00DB5E31"/>
    <w:rsid w:val="00DB6220"/>
    <w:rsid w:val="00DC0E3E"/>
    <w:rsid w:val="00DC14F9"/>
    <w:rsid w:val="00DC24D0"/>
    <w:rsid w:val="00DC32A9"/>
    <w:rsid w:val="00DC6E08"/>
    <w:rsid w:val="00DD1D60"/>
    <w:rsid w:val="00DD38B2"/>
    <w:rsid w:val="00DD5361"/>
    <w:rsid w:val="00DD59E3"/>
    <w:rsid w:val="00DD7278"/>
    <w:rsid w:val="00DD7965"/>
    <w:rsid w:val="00DE39CF"/>
    <w:rsid w:val="00DE577D"/>
    <w:rsid w:val="00DF0869"/>
    <w:rsid w:val="00DF19B5"/>
    <w:rsid w:val="00DF1D65"/>
    <w:rsid w:val="00DF61B2"/>
    <w:rsid w:val="00DF646D"/>
    <w:rsid w:val="00E0104A"/>
    <w:rsid w:val="00E01A5C"/>
    <w:rsid w:val="00E022D0"/>
    <w:rsid w:val="00E06AD4"/>
    <w:rsid w:val="00E10285"/>
    <w:rsid w:val="00E14878"/>
    <w:rsid w:val="00E15E1B"/>
    <w:rsid w:val="00E20206"/>
    <w:rsid w:val="00E20A5F"/>
    <w:rsid w:val="00E22842"/>
    <w:rsid w:val="00E24250"/>
    <w:rsid w:val="00E248FA"/>
    <w:rsid w:val="00E24F08"/>
    <w:rsid w:val="00E26373"/>
    <w:rsid w:val="00E26AF0"/>
    <w:rsid w:val="00E27936"/>
    <w:rsid w:val="00E362B7"/>
    <w:rsid w:val="00E40184"/>
    <w:rsid w:val="00E406B4"/>
    <w:rsid w:val="00E418A3"/>
    <w:rsid w:val="00E419B8"/>
    <w:rsid w:val="00E42443"/>
    <w:rsid w:val="00E43502"/>
    <w:rsid w:val="00E435F7"/>
    <w:rsid w:val="00E4372B"/>
    <w:rsid w:val="00E45F86"/>
    <w:rsid w:val="00E46096"/>
    <w:rsid w:val="00E460AC"/>
    <w:rsid w:val="00E46812"/>
    <w:rsid w:val="00E4729F"/>
    <w:rsid w:val="00E53E8D"/>
    <w:rsid w:val="00E551E0"/>
    <w:rsid w:val="00E5610B"/>
    <w:rsid w:val="00E564B9"/>
    <w:rsid w:val="00E57A9E"/>
    <w:rsid w:val="00E603AB"/>
    <w:rsid w:val="00E60EBF"/>
    <w:rsid w:val="00E6167D"/>
    <w:rsid w:val="00E620CC"/>
    <w:rsid w:val="00E62110"/>
    <w:rsid w:val="00E621AB"/>
    <w:rsid w:val="00E631D7"/>
    <w:rsid w:val="00E63B96"/>
    <w:rsid w:val="00E64B7A"/>
    <w:rsid w:val="00E65E2C"/>
    <w:rsid w:val="00E660D2"/>
    <w:rsid w:val="00E674B8"/>
    <w:rsid w:val="00E70D80"/>
    <w:rsid w:val="00E710A6"/>
    <w:rsid w:val="00E72819"/>
    <w:rsid w:val="00E728FA"/>
    <w:rsid w:val="00E74855"/>
    <w:rsid w:val="00E75458"/>
    <w:rsid w:val="00E75DC6"/>
    <w:rsid w:val="00E7765F"/>
    <w:rsid w:val="00E81919"/>
    <w:rsid w:val="00E82732"/>
    <w:rsid w:val="00E83504"/>
    <w:rsid w:val="00E84184"/>
    <w:rsid w:val="00E87B78"/>
    <w:rsid w:val="00E9040F"/>
    <w:rsid w:val="00E906C7"/>
    <w:rsid w:val="00E90940"/>
    <w:rsid w:val="00E91EA1"/>
    <w:rsid w:val="00E92B29"/>
    <w:rsid w:val="00E935FC"/>
    <w:rsid w:val="00E954BC"/>
    <w:rsid w:val="00E95500"/>
    <w:rsid w:val="00E969D3"/>
    <w:rsid w:val="00E973A9"/>
    <w:rsid w:val="00EA02E5"/>
    <w:rsid w:val="00EA05CF"/>
    <w:rsid w:val="00EA14F3"/>
    <w:rsid w:val="00EA261A"/>
    <w:rsid w:val="00EA2920"/>
    <w:rsid w:val="00EA2FBE"/>
    <w:rsid w:val="00EA3E5C"/>
    <w:rsid w:val="00EA50FD"/>
    <w:rsid w:val="00EA6294"/>
    <w:rsid w:val="00EA6C39"/>
    <w:rsid w:val="00EA7C5D"/>
    <w:rsid w:val="00EB15AB"/>
    <w:rsid w:val="00EB1B0D"/>
    <w:rsid w:val="00EB26DC"/>
    <w:rsid w:val="00EB3E61"/>
    <w:rsid w:val="00EB57E3"/>
    <w:rsid w:val="00EB58DB"/>
    <w:rsid w:val="00EB68C0"/>
    <w:rsid w:val="00EB7F28"/>
    <w:rsid w:val="00EC25F0"/>
    <w:rsid w:val="00EC27BD"/>
    <w:rsid w:val="00EC321C"/>
    <w:rsid w:val="00EC66BC"/>
    <w:rsid w:val="00EC6B81"/>
    <w:rsid w:val="00EC7D05"/>
    <w:rsid w:val="00ED2639"/>
    <w:rsid w:val="00ED2B42"/>
    <w:rsid w:val="00ED35CA"/>
    <w:rsid w:val="00ED35D0"/>
    <w:rsid w:val="00ED3776"/>
    <w:rsid w:val="00ED3FE4"/>
    <w:rsid w:val="00ED48E3"/>
    <w:rsid w:val="00ED6901"/>
    <w:rsid w:val="00ED6A4D"/>
    <w:rsid w:val="00EE1035"/>
    <w:rsid w:val="00EE299C"/>
    <w:rsid w:val="00EE2E56"/>
    <w:rsid w:val="00EE4054"/>
    <w:rsid w:val="00EF04A4"/>
    <w:rsid w:val="00EF04EC"/>
    <w:rsid w:val="00EF23A5"/>
    <w:rsid w:val="00EF432F"/>
    <w:rsid w:val="00EF4575"/>
    <w:rsid w:val="00F00335"/>
    <w:rsid w:val="00F00FF7"/>
    <w:rsid w:val="00F02028"/>
    <w:rsid w:val="00F034B7"/>
    <w:rsid w:val="00F04ED6"/>
    <w:rsid w:val="00F07453"/>
    <w:rsid w:val="00F10708"/>
    <w:rsid w:val="00F10D29"/>
    <w:rsid w:val="00F1127F"/>
    <w:rsid w:val="00F12373"/>
    <w:rsid w:val="00F130FD"/>
    <w:rsid w:val="00F15986"/>
    <w:rsid w:val="00F169C5"/>
    <w:rsid w:val="00F21186"/>
    <w:rsid w:val="00F21306"/>
    <w:rsid w:val="00F21DC8"/>
    <w:rsid w:val="00F2228A"/>
    <w:rsid w:val="00F26F09"/>
    <w:rsid w:val="00F3007D"/>
    <w:rsid w:val="00F31D5B"/>
    <w:rsid w:val="00F34283"/>
    <w:rsid w:val="00F345B0"/>
    <w:rsid w:val="00F349E6"/>
    <w:rsid w:val="00F4291E"/>
    <w:rsid w:val="00F43C89"/>
    <w:rsid w:val="00F4457B"/>
    <w:rsid w:val="00F46048"/>
    <w:rsid w:val="00F46E3B"/>
    <w:rsid w:val="00F47BDC"/>
    <w:rsid w:val="00F56B77"/>
    <w:rsid w:val="00F65905"/>
    <w:rsid w:val="00F65EDF"/>
    <w:rsid w:val="00F66468"/>
    <w:rsid w:val="00F670BF"/>
    <w:rsid w:val="00F675FC"/>
    <w:rsid w:val="00F67A36"/>
    <w:rsid w:val="00F7019A"/>
    <w:rsid w:val="00F709A4"/>
    <w:rsid w:val="00F72481"/>
    <w:rsid w:val="00F75975"/>
    <w:rsid w:val="00F774B7"/>
    <w:rsid w:val="00F82D3A"/>
    <w:rsid w:val="00F82F92"/>
    <w:rsid w:val="00F833B4"/>
    <w:rsid w:val="00F8346C"/>
    <w:rsid w:val="00F83627"/>
    <w:rsid w:val="00F84E43"/>
    <w:rsid w:val="00F86A68"/>
    <w:rsid w:val="00F86BF6"/>
    <w:rsid w:val="00F87903"/>
    <w:rsid w:val="00F90282"/>
    <w:rsid w:val="00F94200"/>
    <w:rsid w:val="00F9573B"/>
    <w:rsid w:val="00F95794"/>
    <w:rsid w:val="00FA2F9F"/>
    <w:rsid w:val="00FA35D2"/>
    <w:rsid w:val="00FA3B4F"/>
    <w:rsid w:val="00FA478A"/>
    <w:rsid w:val="00FA4C8C"/>
    <w:rsid w:val="00FA79B6"/>
    <w:rsid w:val="00FB01F6"/>
    <w:rsid w:val="00FB3C03"/>
    <w:rsid w:val="00FB3C43"/>
    <w:rsid w:val="00FB3F99"/>
    <w:rsid w:val="00FB51C4"/>
    <w:rsid w:val="00FB5417"/>
    <w:rsid w:val="00FC1EA3"/>
    <w:rsid w:val="00FC202B"/>
    <w:rsid w:val="00FC27C9"/>
    <w:rsid w:val="00FC2CCC"/>
    <w:rsid w:val="00FC4BA2"/>
    <w:rsid w:val="00FC4CC6"/>
    <w:rsid w:val="00FC57F4"/>
    <w:rsid w:val="00FC5BFB"/>
    <w:rsid w:val="00FC753C"/>
    <w:rsid w:val="00FC7780"/>
    <w:rsid w:val="00FD052E"/>
    <w:rsid w:val="00FD0A63"/>
    <w:rsid w:val="00FD0F86"/>
    <w:rsid w:val="00FD205C"/>
    <w:rsid w:val="00FD6A5A"/>
    <w:rsid w:val="00FD6CE5"/>
    <w:rsid w:val="00FE0B65"/>
    <w:rsid w:val="00FE266C"/>
    <w:rsid w:val="00FE3B83"/>
    <w:rsid w:val="00FE4635"/>
    <w:rsid w:val="00FE524F"/>
    <w:rsid w:val="00FE52E0"/>
    <w:rsid w:val="00FE7722"/>
    <w:rsid w:val="00FF17FD"/>
    <w:rsid w:val="00FF4235"/>
    <w:rsid w:val="00FF57B2"/>
    <w:rsid w:val="00FF5A31"/>
    <w:rsid w:val="00FF7D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8EBEF"/>
  <w15:docId w15:val="{293A5008-099C-468B-93D0-970A5B5F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GB" w:eastAsia="en-US" w:bidi="ar-SA"/>
      </w:rPr>
    </w:rPrDefault>
    <w:pPrDefault>
      <w:pPr>
        <w:spacing w:after="240" w:line="240" w:lineRule="exact"/>
      </w:pPr>
    </w:pPrDefault>
  </w:docDefaults>
  <w:latentStyles w:defLockedState="0" w:defUIPriority="99" w:defSemiHidden="0" w:defUnhideWhenUsed="0" w:defQFormat="0" w:count="376">
    <w:lsdException w:name="Normal" w:uiPriority="0" w:qFormat="1"/>
    <w:lsdException w:name="heading 1" w:uiPriority="39" w:qFormat="1"/>
    <w:lsdException w:name="heading 2" w:semiHidden="1" w:uiPriority="39" w:unhideWhenUsed="1" w:qFormat="1"/>
    <w:lsdException w:name="heading 3" w:semiHidden="1" w:uiPriority="39" w:unhideWhenUsed="1" w:qFormat="1"/>
    <w:lsdException w:name="heading 4" w:semiHidden="1" w:uiPriority="39" w:unhideWhenUsed="1" w:qFormat="1"/>
    <w:lsdException w:name="heading 5" w:semiHidden="1" w:uiPriority="39" w:unhideWhenUsed="1" w:qFormat="1"/>
    <w:lsdException w:name="heading 6" w:semiHidden="1" w:uiPriority="39" w:unhideWhenUsed="1" w:qFormat="1"/>
    <w:lsdException w:name="heading 7" w:semiHidden="1" w:uiPriority="39" w:unhideWhenUsed="1" w:qFormat="1"/>
    <w:lsdException w:name="heading 8" w:semiHidden="1" w:uiPriority="31" w:unhideWhenUsed="1" w:qFormat="1"/>
    <w:lsdException w:name="heading 9" w:semiHidden="1" w:uiPriority="3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39"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semiHidden="1" w:uiPriority="31" w:qFormat="1"/>
    <w:lsdException w:name="Intense Reference" w:semiHidden="1"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426"/>
    <w:pPr>
      <w:spacing w:after="120" w:line="240" w:lineRule="atLeast"/>
    </w:pPr>
    <w:rPr>
      <w:rFonts w:ascii="Arial" w:hAnsi="Arial"/>
    </w:rPr>
  </w:style>
  <w:style w:type="paragraph" w:styleId="Heading1">
    <w:name w:val="heading 1"/>
    <w:basedOn w:val="Normal"/>
    <w:next w:val="Heading3"/>
    <w:link w:val="Heading1Char"/>
    <w:uiPriority w:val="39"/>
    <w:semiHidden/>
    <w:qFormat/>
    <w:rsid w:val="00144426"/>
    <w:pPr>
      <w:keepNext/>
      <w:keepLines/>
      <w:numPr>
        <w:numId w:val="9"/>
      </w:numPr>
      <w:shd w:val="clear" w:color="auto" w:fill="FFFFFF" w:themeFill="background1"/>
      <w:spacing w:after="0" w:line="240" w:lineRule="auto"/>
      <w:outlineLvl w:val="0"/>
    </w:pPr>
    <w:rPr>
      <w:rFonts w:ascii="Arial Bold" w:eastAsiaTheme="majorEastAsia" w:hAnsi="Arial Bold" w:cstheme="majorBidi"/>
      <w:b/>
      <w:color w:val="000000" w:themeColor="text1"/>
      <w:sz w:val="32"/>
      <w:szCs w:val="32"/>
    </w:rPr>
  </w:style>
  <w:style w:type="paragraph" w:styleId="Heading2">
    <w:name w:val="heading 2"/>
    <w:basedOn w:val="Heading1"/>
    <w:next w:val="NumberedParagraph"/>
    <w:link w:val="Heading2Char"/>
    <w:uiPriority w:val="39"/>
    <w:semiHidden/>
    <w:qFormat/>
    <w:rsid w:val="00D53012"/>
    <w:pPr>
      <w:numPr>
        <w:numId w:val="0"/>
      </w:numPr>
      <w:spacing w:line="360" w:lineRule="exact"/>
      <w:outlineLvl w:val="1"/>
    </w:pPr>
    <w:rPr>
      <w:color w:val="6EB02D" w:themeColor="accent1"/>
      <w:szCs w:val="26"/>
    </w:rPr>
  </w:style>
  <w:style w:type="paragraph" w:styleId="Heading3">
    <w:name w:val="heading 3"/>
    <w:basedOn w:val="Normal"/>
    <w:next w:val="NumberedParagraph"/>
    <w:link w:val="Heading3Char"/>
    <w:uiPriority w:val="39"/>
    <w:semiHidden/>
    <w:qFormat/>
    <w:rsid w:val="00144426"/>
    <w:pPr>
      <w:spacing w:after="0" w:line="360" w:lineRule="exact"/>
      <w:outlineLvl w:val="2"/>
    </w:pPr>
    <w:rPr>
      <w:b/>
      <w:color w:val="6EB02D" w:themeColor="accent1"/>
      <w:sz w:val="32"/>
      <w:szCs w:val="24"/>
    </w:rPr>
  </w:style>
  <w:style w:type="paragraph" w:styleId="Heading4">
    <w:name w:val="heading 4"/>
    <w:basedOn w:val="Normal"/>
    <w:next w:val="Normal"/>
    <w:link w:val="Heading4Char"/>
    <w:uiPriority w:val="39"/>
    <w:semiHidden/>
    <w:qFormat/>
    <w:rsid w:val="00B334FE"/>
    <w:pPr>
      <w:keepNext/>
      <w:keepLines/>
      <w:spacing w:before="240"/>
      <w:outlineLvl w:val="3"/>
    </w:pPr>
    <w:rPr>
      <w:rFonts w:ascii="Arial Bold" w:eastAsiaTheme="majorEastAsia" w:hAnsi="Arial Bold" w:cstheme="majorBidi"/>
      <w:b/>
      <w:iCs/>
      <w:color w:val="6EB02D" w:themeColor="accent1"/>
      <w:sz w:val="24"/>
    </w:rPr>
  </w:style>
  <w:style w:type="paragraph" w:styleId="Heading5">
    <w:name w:val="heading 5"/>
    <w:basedOn w:val="Normal"/>
    <w:next w:val="Normal"/>
    <w:link w:val="Heading5Char"/>
    <w:uiPriority w:val="39"/>
    <w:semiHidden/>
    <w:qFormat/>
    <w:rsid w:val="00B334FE"/>
    <w:pPr>
      <w:keepNext/>
      <w:keepLines/>
      <w:spacing w:before="240"/>
      <w:outlineLvl w:val="4"/>
    </w:pPr>
    <w:rPr>
      <w:rFonts w:eastAsiaTheme="majorEastAsia" w:cstheme="majorBidi"/>
      <w:b/>
      <w:color w:val="6EB02D" w:themeColor="accent1"/>
    </w:rPr>
  </w:style>
  <w:style w:type="paragraph" w:styleId="Heading6">
    <w:name w:val="heading 6"/>
    <w:basedOn w:val="Normal"/>
    <w:next w:val="Normal"/>
    <w:link w:val="Heading6Char"/>
    <w:uiPriority w:val="39"/>
    <w:semiHidden/>
    <w:qFormat/>
    <w:rsid w:val="00B334FE"/>
    <w:pPr>
      <w:keepNext/>
      <w:keepLines/>
      <w:spacing w:before="240"/>
      <w:outlineLvl w:val="5"/>
    </w:pPr>
    <w:rPr>
      <w:rFonts w:eastAsiaTheme="majorEastAsia" w:cstheme="majorBidi"/>
      <w:b/>
      <w:color w:val="878787"/>
    </w:rPr>
  </w:style>
  <w:style w:type="paragraph" w:styleId="Heading7">
    <w:name w:val="heading 7"/>
    <w:basedOn w:val="Normal"/>
    <w:next w:val="Normal"/>
    <w:link w:val="Heading7Char"/>
    <w:uiPriority w:val="39"/>
    <w:semiHidden/>
    <w:qFormat/>
    <w:rsid w:val="00B334FE"/>
    <w:pPr>
      <w:keepNext/>
      <w:keepLines/>
      <w:spacing w:before="40" w:after="0"/>
      <w:outlineLvl w:val="6"/>
    </w:pPr>
    <w:rPr>
      <w:rFonts w:asciiTheme="majorHAnsi" w:eastAsiaTheme="majorEastAsia" w:hAnsiTheme="majorHAnsi" w:cstheme="majorBidi"/>
      <w:i/>
      <w:iCs/>
      <w:color w:val="365716" w:themeColor="accent1" w:themeShade="7F"/>
    </w:rPr>
  </w:style>
  <w:style w:type="paragraph" w:styleId="Heading8">
    <w:name w:val="heading 8"/>
    <w:basedOn w:val="Normal"/>
    <w:next w:val="Normal"/>
    <w:link w:val="Heading8Char"/>
    <w:uiPriority w:val="31"/>
    <w:semiHidden/>
    <w:qFormat/>
    <w:rsid w:val="00B334F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1"/>
    <w:semiHidden/>
    <w:qFormat/>
    <w:rsid w:val="00B334F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34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List1">
    <w:name w:val="NumbList 1"/>
    <w:basedOn w:val="Normal"/>
    <w:uiPriority w:val="2"/>
    <w:qFormat/>
    <w:rsid w:val="00144426"/>
    <w:pPr>
      <w:numPr>
        <w:ilvl w:val="4"/>
        <w:numId w:val="23"/>
      </w:numPr>
    </w:pPr>
  </w:style>
  <w:style w:type="paragraph" w:customStyle="1" w:styleId="DocMainTitle">
    <w:name w:val="DocMainTitle"/>
    <w:basedOn w:val="Normal"/>
    <w:uiPriority w:val="39"/>
    <w:semiHidden/>
    <w:qFormat/>
    <w:rsid w:val="00B334FE"/>
    <w:pPr>
      <w:spacing w:after="0" w:line="480" w:lineRule="exact"/>
      <w:contextualSpacing/>
    </w:pPr>
    <w:rPr>
      <w:b/>
      <w:color w:val="6EB02D" w:themeColor="accent1"/>
      <w:sz w:val="44"/>
    </w:rPr>
  </w:style>
  <w:style w:type="paragraph" w:customStyle="1" w:styleId="DocSubTitle">
    <w:name w:val="DocSubTitle"/>
    <w:basedOn w:val="DocMainTitle"/>
    <w:uiPriority w:val="39"/>
    <w:semiHidden/>
    <w:qFormat/>
    <w:rsid w:val="00B334FE"/>
    <w:pPr>
      <w:spacing w:after="360"/>
    </w:pPr>
    <w:rPr>
      <w:color w:val="878787"/>
    </w:rPr>
  </w:style>
  <w:style w:type="paragraph" w:customStyle="1" w:styleId="DocSmallTitle">
    <w:name w:val="DocSmallTitle"/>
    <w:basedOn w:val="Normal"/>
    <w:uiPriority w:val="39"/>
    <w:semiHidden/>
    <w:qFormat/>
    <w:rsid w:val="00B334FE"/>
    <w:pPr>
      <w:spacing w:after="0"/>
    </w:pPr>
    <w:rPr>
      <w:b/>
    </w:rPr>
  </w:style>
  <w:style w:type="paragraph" w:customStyle="1" w:styleId="DocPreparedBy">
    <w:name w:val="DocPreparedBy"/>
    <w:basedOn w:val="Normal"/>
    <w:uiPriority w:val="39"/>
    <w:semiHidden/>
    <w:qFormat/>
    <w:rsid w:val="00B334FE"/>
    <w:pPr>
      <w:spacing w:after="0"/>
    </w:pPr>
  </w:style>
  <w:style w:type="paragraph" w:customStyle="1" w:styleId="DocReportDate">
    <w:name w:val="DocReportDate"/>
    <w:basedOn w:val="Normal"/>
    <w:uiPriority w:val="39"/>
    <w:semiHidden/>
    <w:qFormat/>
    <w:rsid w:val="00B334FE"/>
    <w:pPr>
      <w:spacing w:after="0"/>
    </w:pPr>
  </w:style>
  <w:style w:type="paragraph" w:customStyle="1" w:styleId="DocClientName">
    <w:name w:val="DocClientName"/>
    <w:basedOn w:val="Normal"/>
    <w:uiPriority w:val="39"/>
    <w:semiHidden/>
    <w:qFormat/>
    <w:rsid w:val="00B334FE"/>
    <w:pPr>
      <w:spacing w:before="120" w:after="240" w:line="360" w:lineRule="exact"/>
    </w:pPr>
    <w:rPr>
      <w:b/>
      <w:color w:val="000000" w:themeColor="text1"/>
      <w:sz w:val="32"/>
    </w:rPr>
  </w:style>
  <w:style w:type="paragraph" w:styleId="Header">
    <w:name w:val="header"/>
    <w:basedOn w:val="Normal"/>
    <w:link w:val="HeaderChar"/>
    <w:uiPriority w:val="99"/>
    <w:rsid w:val="00B334FE"/>
    <w:pPr>
      <w:tabs>
        <w:tab w:val="center" w:pos="4513"/>
        <w:tab w:val="right" w:pos="9026"/>
      </w:tabs>
      <w:spacing w:after="0" w:line="200" w:lineRule="exact"/>
    </w:pPr>
    <w:rPr>
      <w:sz w:val="16"/>
    </w:rPr>
  </w:style>
  <w:style w:type="character" w:customStyle="1" w:styleId="HeaderChar">
    <w:name w:val="Header Char"/>
    <w:basedOn w:val="DefaultParagraphFont"/>
    <w:link w:val="Header"/>
    <w:uiPriority w:val="99"/>
    <w:rsid w:val="00B334FE"/>
    <w:rPr>
      <w:rFonts w:ascii="Arial" w:hAnsi="Arial"/>
      <w:sz w:val="16"/>
    </w:rPr>
  </w:style>
  <w:style w:type="paragraph" w:styleId="Footer">
    <w:name w:val="footer"/>
    <w:basedOn w:val="Normal"/>
    <w:link w:val="FooterChar"/>
    <w:uiPriority w:val="99"/>
    <w:rsid w:val="00B334FE"/>
    <w:pPr>
      <w:tabs>
        <w:tab w:val="center" w:pos="4513"/>
        <w:tab w:val="right" w:pos="9026"/>
      </w:tabs>
      <w:spacing w:after="0" w:line="240" w:lineRule="auto"/>
      <w:jc w:val="right"/>
    </w:pPr>
    <w:rPr>
      <w:noProof/>
    </w:rPr>
  </w:style>
  <w:style w:type="character" w:customStyle="1" w:styleId="FooterChar">
    <w:name w:val="Footer Char"/>
    <w:basedOn w:val="DefaultParagraphFont"/>
    <w:link w:val="Footer"/>
    <w:uiPriority w:val="99"/>
    <w:rsid w:val="00B334FE"/>
    <w:rPr>
      <w:rFonts w:ascii="Arial" w:hAnsi="Arial"/>
      <w:noProof/>
    </w:rPr>
  </w:style>
  <w:style w:type="paragraph" w:customStyle="1" w:styleId="SmallPrint">
    <w:name w:val="Small Print"/>
    <w:basedOn w:val="Normal"/>
    <w:uiPriority w:val="99"/>
    <w:semiHidden/>
    <w:qFormat/>
    <w:rsid w:val="00B334FE"/>
    <w:pPr>
      <w:spacing w:after="160" w:line="160" w:lineRule="exact"/>
      <w:contextualSpacing/>
    </w:pPr>
    <w:rPr>
      <w:color w:val="878787"/>
      <w:sz w:val="12"/>
    </w:rPr>
  </w:style>
  <w:style w:type="character" w:customStyle="1" w:styleId="Heading1Char">
    <w:name w:val="Heading 1 Char"/>
    <w:basedOn w:val="DefaultParagraphFont"/>
    <w:link w:val="Heading1"/>
    <w:uiPriority w:val="39"/>
    <w:semiHidden/>
    <w:rsid w:val="00144426"/>
    <w:rPr>
      <w:rFonts w:ascii="Arial Bold" w:eastAsiaTheme="majorEastAsia" w:hAnsi="Arial Bold" w:cstheme="majorBidi"/>
      <w:b/>
      <w:color w:val="000000" w:themeColor="text1"/>
      <w:sz w:val="32"/>
      <w:szCs w:val="32"/>
      <w:shd w:val="clear" w:color="auto" w:fill="FFFFFF" w:themeFill="background1"/>
    </w:rPr>
  </w:style>
  <w:style w:type="character" w:customStyle="1" w:styleId="Heading2Char">
    <w:name w:val="Heading 2 Char"/>
    <w:basedOn w:val="DefaultParagraphFont"/>
    <w:link w:val="Heading2"/>
    <w:uiPriority w:val="39"/>
    <w:semiHidden/>
    <w:rsid w:val="00D53012"/>
    <w:rPr>
      <w:rFonts w:ascii="Arial Bold" w:eastAsiaTheme="majorEastAsia" w:hAnsi="Arial Bold" w:cstheme="majorBidi"/>
      <w:b/>
      <w:color w:val="6EB02D" w:themeColor="accent1"/>
      <w:sz w:val="32"/>
      <w:szCs w:val="26"/>
      <w:shd w:val="clear" w:color="auto" w:fill="FFFFFF" w:themeFill="background1"/>
    </w:rPr>
  </w:style>
  <w:style w:type="character" w:customStyle="1" w:styleId="Heading3Char">
    <w:name w:val="Heading 3 Char"/>
    <w:basedOn w:val="DefaultParagraphFont"/>
    <w:link w:val="Heading3"/>
    <w:uiPriority w:val="39"/>
    <w:semiHidden/>
    <w:rsid w:val="00144426"/>
    <w:rPr>
      <w:rFonts w:ascii="Arial" w:hAnsi="Arial"/>
      <w:b/>
      <w:color w:val="6EB02D" w:themeColor="accent1"/>
      <w:sz w:val="32"/>
      <w:szCs w:val="24"/>
    </w:rPr>
  </w:style>
  <w:style w:type="character" w:customStyle="1" w:styleId="Heading4Char">
    <w:name w:val="Heading 4 Char"/>
    <w:basedOn w:val="DefaultParagraphFont"/>
    <w:link w:val="Heading4"/>
    <w:uiPriority w:val="39"/>
    <w:semiHidden/>
    <w:rsid w:val="00612306"/>
    <w:rPr>
      <w:rFonts w:ascii="Arial Bold" w:eastAsiaTheme="majorEastAsia" w:hAnsi="Arial Bold" w:cstheme="majorBidi"/>
      <w:b/>
      <w:iCs/>
      <w:color w:val="6EB02D" w:themeColor="accent1"/>
      <w:sz w:val="24"/>
    </w:rPr>
  </w:style>
  <w:style w:type="character" w:customStyle="1" w:styleId="Heading5Char">
    <w:name w:val="Heading 5 Char"/>
    <w:basedOn w:val="DefaultParagraphFont"/>
    <w:link w:val="Heading5"/>
    <w:uiPriority w:val="39"/>
    <w:semiHidden/>
    <w:rsid w:val="00612306"/>
    <w:rPr>
      <w:rFonts w:ascii="Arial" w:eastAsiaTheme="majorEastAsia" w:hAnsi="Arial" w:cstheme="majorBidi"/>
      <w:b/>
      <w:color w:val="6EB02D" w:themeColor="accent1"/>
    </w:rPr>
  </w:style>
  <w:style w:type="character" w:customStyle="1" w:styleId="Heading6Char">
    <w:name w:val="Heading 6 Char"/>
    <w:basedOn w:val="DefaultParagraphFont"/>
    <w:link w:val="Heading6"/>
    <w:uiPriority w:val="39"/>
    <w:semiHidden/>
    <w:rsid w:val="00612306"/>
    <w:rPr>
      <w:rFonts w:ascii="Arial" w:eastAsiaTheme="majorEastAsia" w:hAnsi="Arial" w:cstheme="majorBidi"/>
      <w:b/>
      <w:color w:val="878787"/>
    </w:rPr>
  </w:style>
  <w:style w:type="numbering" w:customStyle="1" w:styleId="NumLstMain">
    <w:name w:val="NumLstMain"/>
    <w:uiPriority w:val="99"/>
    <w:rsid w:val="00B334FE"/>
    <w:pPr>
      <w:numPr>
        <w:numId w:val="1"/>
      </w:numPr>
    </w:pPr>
  </w:style>
  <w:style w:type="paragraph" w:customStyle="1" w:styleId="Introduction">
    <w:name w:val="Introduction"/>
    <w:basedOn w:val="Normal"/>
    <w:next w:val="Normal"/>
    <w:uiPriority w:val="1"/>
    <w:qFormat/>
    <w:rsid w:val="00B334FE"/>
    <w:pPr>
      <w:spacing w:after="360" w:line="360" w:lineRule="atLeast"/>
    </w:pPr>
    <w:rPr>
      <w:rFonts w:ascii="Arial Bold" w:hAnsi="Arial Bold"/>
      <w:b/>
      <w:color w:val="878787"/>
      <w:sz w:val="32"/>
    </w:rPr>
  </w:style>
  <w:style w:type="paragraph" w:customStyle="1" w:styleId="NumberedParagraph">
    <w:name w:val="Numbered Paragraph"/>
    <w:basedOn w:val="Normal"/>
    <w:uiPriority w:val="8"/>
    <w:qFormat/>
    <w:rsid w:val="00144426"/>
    <w:pPr>
      <w:numPr>
        <w:ilvl w:val="1"/>
        <w:numId w:val="23"/>
      </w:numPr>
    </w:pPr>
  </w:style>
  <w:style w:type="paragraph" w:styleId="FootnoteText">
    <w:name w:val="footnote text"/>
    <w:basedOn w:val="Normal"/>
    <w:link w:val="FootnoteTextChar"/>
    <w:uiPriority w:val="99"/>
    <w:semiHidden/>
    <w:unhideWhenUsed/>
    <w:rsid w:val="00371CC8"/>
    <w:pPr>
      <w:spacing w:after="0" w:line="240" w:lineRule="auto"/>
    </w:pPr>
    <w:rPr>
      <w:color w:val="878787"/>
      <w:sz w:val="16"/>
      <w:szCs w:val="20"/>
    </w:rPr>
  </w:style>
  <w:style w:type="character" w:customStyle="1" w:styleId="FootnoteTextChar">
    <w:name w:val="Footnote Text Char"/>
    <w:basedOn w:val="DefaultParagraphFont"/>
    <w:link w:val="FootnoteText"/>
    <w:uiPriority w:val="99"/>
    <w:semiHidden/>
    <w:rsid w:val="00371CC8"/>
    <w:rPr>
      <w:rFonts w:ascii="Arial" w:hAnsi="Arial"/>
      <w:color w:val="878787"/>
      <w:sz w:val="16"/>
      <w:szCs w:val="20"/>
    </w:rPr>
  </w:style>
  <w:style w:type="character" w:styleId="FootnoteReference">
    <w:name w:val="footnote reference"/>
    <w:basedOn w:val="DefaultParagraphFont"/>
    <w:uiPriority w:val="99"/>
    <w:semiHidden/>
    <w:unhideWhenUsed/>
    <w:rsid w:val="00B334FE"/>
    <w:rPr>
      <w:vertAlign w:val="superscript"/>
    </w:rPr>
  </w:style>
  <w:style w:type="paragraph" w:customStyle="1" w:styleId="IntroductionGreen">
    <w:name w:val="Introduction Green"/>
    <w:basedOn w:val="Introduction"/>
    <w:next w:val="Normal"/>
    <w:uiPriority w:val="1"/>
    <w:qFormat/>
    <w:rsid w:val="00B334FE"/>
    <w:rPr>
      <w:color w:val="6EB02D" w:themeColor="accent1"/>
    </w:rPr>
  </w:style>
  <w:style w:type="paragraph" w:customStyle="1" w:styleId="HeaderIndentedgreen">
    <w:name w:val="Header Indented green"/>
    <w:basedOn w:val="Normal"/>
    <w:next w:val="Header"/>
    <w:uiPriority w:val="99"/>
    <w:semiHidden/>
    <w:qFormat/>
    <w:rsid w:val="00B334FE"/>
    <w:pPr>
      <w:tabs>
        <w:tab w:val="center" w:pos="4513"/>
        <w:tab w:val="right" w:pos="9026"/>
      </w:tabs>
      <w:spacing w:after="80" w:line="200" w:lineRule="exact"/>
      <w:ind w:left="113"/>
    </w:pPr>
    <w:rPr>
      <w:color w:val="6EB02D" w:themeColor="accent1"/>
      <w:sz w:val="16"/>
    </w:rPr>
  </w:style>
  <w:style w:type="paragraph" w:customStyle="1" w:styleId="Quotation">
    <w:name w:val="Quotation"/>
    <w:basedOn w:val="Normal"/>
    <w:next w:val="NumberedParagraph"/>
    <w:uiPriority w:val="39"/>
    <w:semiHidden/>
    <w:qFormat/>
    <w:rsid w:val="00B334FE"/>
    <w:pPr>
      <w:spacing w:after="360" w:line="360" w:lineRule="exact"/>
    </w:pPr>
    <w:rPr>
      <w:b/>
      <w:i/>
      <w:color w:val="878787"/>
      <w:sz w:val="32"/>
      <w:szCs w:val="32"/>
    </w:rPr>
  </w:style>
  <w:style w:type="paragraph" w:customStyle="1" w:styleId="Highlightbox">
    <w:name w:val="Highlight box"/>
    <w:basedOn w:val="Normal"/>
    <w:uiPriority w:val="12"/>
    <w:qFormat/>
    <w:rsid w:val="00B334FE"/>
    <w:pPr>
      <w:pBdr>
        <w:top w:val="single" w:sz="4" w:space="11" w:color="C5DFAB"/>
        <w:left w:val="single" w:sz="4" w:space="11" w:color="C5DFAB"/>
        <w:bottom w:val="single" w:sz="4" w:space="11" w:color="C5DFAB"/>
        <w:right w:val="single" w:sz="4" w:space="11" w:color="C5DFAB"/>
      </w:pBdr>
      <w:shd w:val="clear" w:color="auto" w:fill="C5DFAB"/>
      <w:ind w:left="227" w:right="227"/>
    </w:pPr>
  </w:style>
  <w:style w:type="paragraph" w:customStyle="1" w:styleId="Highlightboxheading">
    <w:name w:val="Highlight box heading"/>
    <w:basedOn w:val="Highlightbox"/>
    <w:next w:val="Highlightbox"/>
    <w:uiPriority w:val="11"/>
    <w:qFormat/>
    <w:rsid w:val="00B334FE"/>
    <w:pPr>
      <w:spacing w:after="0"/>
    </w:pPr>
    <w:rPr>
      <w:b/>
    </w:rPr>
  </w:style>
  <w:style w:type="paragraph" w:customStyle="1" w:styleId="FigureTitle">
    <w:name w:val="Figure Title"/>
    <w:basedOn w:val="Normal"/>
    <w:next w:val="Normal"/>
    <w:uiPriority w:val="39"/>
    <w:semiHidden/>
    <w:qFormat/>
    <w:rsid w:val="00144426"/>
    <w:pPr>
      <w:keepNext/>
      <w:numPr>
        <w:ilvl w:val="2"/>
        <w:numId w:val="23"/>
      </w:numPr>
      <w:spacing w:before="120"/>
    </w:pPr>
    <w:rPr>
      <w:b/>
      <w:color w:val="878787"/>
    </w:rPr>
  </w:style>
  <w:style w:type="paragraph" w:customStyle="1" w:styleId="Figurecaption">
    <w:name w:val="Figure caption"/>
    <w:basedOn w:val="FigureTitle"/>
    <w:next w:val="NoSpacing"/>
    <w:uiPriority w:val="39"/>
    <w:semiHidden/>
    <w:qFormat/>
    <w:rsid w:val="00B334FE"/>
    <w:pPr>
      <w:keepNext w:val="0"/>
      <w:numPr>
        <w:ilvl w:val="0"/>
        <w:numId w:val="0"/>
      </w:numPr>
      <w:spacing w:line="160" w:lineRule="exact"/>
    </w:pPr>
    <w:rPr>
      <w:sz w:val="14"/>
    </w:rPr>
  </w:style>
  <w:style w:type="paragraph" w:customStyle="1" w:styleId="TableTitle">
    <w:name w:val="Table Title"/>
    <w:basedOn w:val="FigureTitle"/>
    <w:next w:val="Normal"/>
    <w:uiPriority w:val="24"/>
    <w:semiHidden/>
    <w:qFormat/>
    <w:rsid w:val="00B334FE"/>
    <w:pPr>
      <w:numPr>
        <w:ilvl w:val="3"/>
      </w:numPr>
    </w:pPr>
  </w:style>
  <w:style w:type="paragraph" w:customStyle="1" w:styleId="TableCentred">
    <w:name w:val="Table Centred"/>
    <w:basedOn w:val="TableText"/>
    <w:uiPriority w:val="26"/>
    <w:rsid w:val="00654B9B"/>
    <w:pPr>
      <w:jc w:val="center"/>
    </w:pPr>
  </w:style>
  <w:style w:type="paragraph" w:customStyle="1" w:styleId="TableText">
    <w:name w:val="Table Text"/>
    <w:basedOn w:val="Normal"/>
    <w:uiPriority w:val="26"/>
    <w:rsid w:val="00371CC8"/>
    <w:pPr>
      <w:spacing w:before="80" w:line="240" w:lineRule="auto"/>
      <w:ind w:left="113"/>
    </w:pPr>
  </w:style>
  <w:style w:type="paragraph" w:customStyle="1" w:styleId="Bullet1">
    <w:name w:val="Bullet 1"/>
    <w:basedOn w:val="Normal"/>
    <w:uiPriority w:val="3"/>
    <w:qFormat/>
    <w:rsid w:val="00B334FE"/>
    <w:pPr>
      <w:numPr>
        <w:numId w:val="6"/>
      </w:numPr>
    </w:pPr>
    <w:rPr>
      <w:szCs w:val="22"/>
    </w:rPr>
  </w:style>
  <w:style w:type="numbering" w:customStyle="1" w:styleId="NumbListBullet">
    <w:name w:val="NumbListBullet"/>
    <w:uiPriority w:val="99"/>
    <w:rsid w:val="00B334FE"/>
    <w:pPr>
      <w:numPr>
        <w:numId w:val="2"/>
      </w:numPr>
    </w:pPr>
  </w:style>
  <w:style w:type="paragraph" w:customStyle="1" w:styleId="Bullet2">
    <w:name w:val="Bullet 2"/>
    <w:basedOn w:val="Normal"/>
    <w:uiPriority w:val="3"/>
    <w:qFormat/>
    <w:rsid w:val="00B334FE"/>
    <w:pPr>
      <w:numPr>
        <w:ilvl w:val="1"/>
        <w:numId w:val="6"/>
      </w:numPr>
    </w:pPr>
    <w:rPr>
      <w:szCs w:val="22"/>
    </w:rPr>
  </w:style>
  <w:style w:type="paragraph" w:customStyle="1" w:styleId="TableBullet1">
    <w:name w:val="Table Bullet 1"/>
    <w:basedOn w:val="Bullet1"/>
    <w:uiPriority w:val="28"/>
    <w:semiHidden/>
    <w:rsid w:val="00371CC8"/>
    <w:pPr>
      <w:numPr>
        <w:numId w:val="27"/>
      </w:numPr>
      <w:spacing w:before="80" w:line="240" w:lineRule="auto"/>
    </w:pPr>
  </w:style>
  <w:style w:type="paragraph" w:customStyle="1" w:styleId="TableBullet2">
    <w:name w:val="Table Bullet 2"/>
    <w:basedOn w:val="Bullet2"/>
    <w:uiPriority w:val="28"/>
    <w:semiHidden/>
    <w:rsid w:val="00371CC8"/>
    <w:pPr>
      <w:numPr>
        <w:numId w:val="27"/>
      </w:numPr>
      <w:spacing w:before="80" w:line="240" w:lineRule="auto"/>
    </w:pPr>
  </w:style>
  <w:style w:type="numbering" w:customStyle="1" w:styleId="NumLstTableBullet">
    <w:name w:val="NumLstTableBullet"/>
    <w:uiPriority w:val="99"/>
    <w:rsid w:val="00B334FE"/>
    <w:pPr>
      <w:numPr>
        <w:numId w:val="3"/>
      </w:numPr>
    </w:pPr>
  </w:style>
  <w:style w:type="paragraph" w:customStyle="1" w:styleId="TableNumbered">
    <w:name w:val="Table Numbered"/>
    <w:basedOn w:val="TableText"/>
    <w:uiPriority w:val="28"/>
    <w:semiHidden/>
    <w:qFormat/>
    <w:rsid w:val="00B334FE"/>
    <w:pPr>
      <w:numPr>
        <w:numId w:val="8"/>
      </w:numPr>
    </w:pPr>
  </w:style>
  <w:style w:type="paragraph" w:customStyle="1" w:styleId="TableNumberedIndent">
    <w:name w:val="Table Numbered Indent"/>
    <w:basedOn w:val="TableNumbered"/>
    <w:uiPriority w:val="28"/>
    <w:semiHidden/>
    <w:qFormat/>
    <w:rsid w:val="00B334FE"/>
    <w:pPr>
      <w:numPr>
        <w:ilvl w:val="1"/>
      </w:numPr>
    </w:pPr>
  </w:style>
  <w:style w:type="numbering" w:customStyle="1" w:styleId="NumListTableNum">
    <w:name w:val="NumListTableNum"/>
    <w:uiPriority w:val="99"/>
    <w:rsid w:val="00B334FE"/>
    <w:pPr>
      <w:numPr>
        <w:numId w:val="4"/>
      </w:numPr>
    </w:pPr>
  </w:style>
  <w:style w:type="character" w:styleId="PlaceholderText">
    <w:name w:val="Placeholder Text"/>
    <w:basedOn w:val="DefaultParagraphFont"/>
    <w:uiPriority w:val="99"/>
    <w:semiHidden/>
    <w:rsid w:val="00B334FE"/>
    <w:rPr>
      <w:color w:val="808080"/>
    </w:rPr>
  </w:style>
  <w:style w:type="paragraph" w:customStyle="1" w:styleId="NumbList2">
    <w:name w:val="NumbList 2"/>
    <w:basedOn w:val="Normal"/>
    <w:uiPriority w:val="2"/>
    <w:qFormat/>
    <w:rsid w:val="00144426"/>
    <w:pPr>
      <w:numPr>
        <w:ilvl w:val="5"/>
        <w:numId w:val="23"/>
      </w:numPr>
    </w:pPr>
  </w:style>
  <w:style w:type="paragraph" w:customStyle="1" w:styleId="TableHeading">
    <w:name w:val="Table Heading"/>
    <w:basedOn w:val="TableText"/>
    <w:uiPriority w:val="25"/>
    <w:rsid w:val="00654B9B"/>
    <w:rPr>
      <w:color w:val="FFFFFF" w:themeColor="background1"/>
    </w:rPr>
  </w:style>
  <w:style w:type="paragraph" w:styleId="TOC2">
    <w:name w:val="toc 2"/>
    <w:basedOn w:val="Normal"/>
    <w:next w:val="Normal"/>
    <w:autoRedefine/>
    <w:uiPriority w:val="39"/>
    <w:semiHidden/>
    <w:rsid w:val="00B334FE"/>
    <w:pPr>
      <w:tabs>
        <w:tab w:val="right" w:pos="4979"/>
      </w:tabs>
      <w:spacing w:after="240"/>
      <w:ind w:right="425"/>
    </w:pPr>
    <w:rPr>
      <w:b/>
      <w:color w:val="6EB02D" w:themeColor="accent1"/>
      <w:sz w:val="24"/>
    </w:rPr>
  </w:style>
  <w:style w:type="paragraph" w:styleId="TOC1">
    <w:name w:val="toc 1"/>
    <w:basedOn w:val="Normal"/>
    <w:next w:val="Normal"/>
    <w:autoRedefine/>
    <w:uiPriority w:val="39"/>
    <w:semiHidden/>
    <w:rsid w:val="00B334FE"/>
    <w:pPr>
      <w:keepNext/>
      <w:pBdr>
        <w:top w:val="single" w:sz="4" w:space="6" w:color="6EB02D" w:themeColor="accent1"/>
      </w:pBdr>
      <w:tabs>
        <w:tab w:val="right" w:pos="4979"/>
      </w:tabs>
      <w:spacing w:before="360" w:after="0" w:line="228" w:lineRule="auto"/>
    </w:pPr>
    <w:rPr>
      <w:rFonts w:eastAsiaTheme="minorEastAsia"/>
      <w:b/>
      <w:color w:val="000000" w:themeColor="text1"/>
      <w:sz w:val="24"/>
      <w:szCs w:val="22"/>
      <w:lang w:eastAsia="en-GB"/>
    </w:rPr>
  </w:style>
  <w:style w:type="paragraph" w:styleId="TOC3">
    <w:name w:val="toc 3"/>
    <w:basedOn w:val="Normal"/>
    <w:next w:val="Normal"/>
    <w:autoRedefine/>
    <w:uiPriority w:val="39"/>
    <w:semiHidden/>
    <w:rsid w:val="00B334FE"/>
    <w:pPr>
      <w:spacing w:after="240"/>
      <w:ind w:right="425"/>
    </w:pPr>
    <w:rPr>
      <w:b/>
      <w:color w:val="6EB02D" w:themeColor="accent1"/>
      <w:sz w:val="24"/>
    </w:rPr>
  </w:style>
  <w:style w:type="paragraph" w:styleId="TOC4">
    <w:name w:val="toc 4"/>
    <w:basedOn w:val="Normal"/>
    <w:next w:val="Normal"/>
    <w:uiPriority w:val="39"/>
    <w:semiHidden/>
    <w:rsid w:val="00B334FE"/>
    <w:pPr>
      <w:spacing w:before="60" w:after="0"/>
      <w:ind w:right="425"/>
    </w:pPr>
  </w:style>
  <w:style w:type="character" w:styleId="Hyperlink">
    <w:name w:val="Hyperlink"/>
    <w:basedOn w:val="DefaultParagraphFont"/>
    <w:uiPriority w:val="99"/>
    <w:unhideWhenUsed/>
    <w:rsid w:val="00B334FE"/>
    <w:rPr>
      <w:color w:val="878787" w:themeColor="text2"/>
      <w:u w:val="single"/>
    </w:rPr>
  </w:style>
  <w:style w:type="paragraph" w:styleId="TOC5">
    <w:name w:val="toc 5"/>
    <w:basedOn w:val="Normal"/>
    <w:next w:val="Normal"/>
    <w:autoRedefine/>
    <w:uiPriority w:val="39"/>
    <w:semiHidden/>
    <w:rsid w:val="00B334FE"/>
    <w:pPr>
      <w:spacing w:after="0"/>
      <w:ind w:left="227" w:right="425"/>
    </w:pPr>
  </w:style>
  <w:style w:type="character" w:customStyle="1" w:styleId="Heading9Char">
    <w:name w:val="Heading 9 Char"/>
    <w:basedOn w:val="DefaultParagraphFont"/>
    <w:link w:val="Heading9"/>
    <w:uiPriority w:val="31"/>
    <w:semiHidden/>
    <w:rsid w:val="00B334FE"/>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31"/>
    <w:semiHidden/>
    <w:rsid w:val="00B334FE"/>
    <w:rPr>
      <w:rFonts w:asciiTheme="majorHAnsi" w:eastAsiaTheme="majorEastAsia" w:hAnsiTheme="majorHAnsi" w:cstheme="majorBidi"/>
      <w:color w:val="272727" w:themeColor="text1" w:themeTint="D8"/>
      <w:sz w:val="21"/>
      <w:szCs w:val="21"/>
    </w:rPr>
  </w:style>
  <w:style w:type="character" w:customStyle="1" w:styleId="Heading7Char">
    <w:name w:val="Heading 7 Char"/>
    <w:basedOn w:val="DefaultParagraphFont"/>
    <w:link w:val="Heading7"/>
    <w:uiPriority w:val="39"/>
    <w:semiHidden/>
    <w:rsid w:val="00B334FE"/>
    <w:rPr>
      <w:rFonts w:asciiTheme="majorHAnsi" w:eastAsiaTheme="majorEastAsia" w:hAnsiTheme="majorHAnsi" w:cstheme="majorBidi"/>
      <w:i/>
      <w:iCs/>
      <w:color w:val="365716" w:themeColor="accent1" w:themeShade="7F"/>
    </w:rPr>
  </w:style>
  <w:style w:type="paragraph" w:styleId="TOC9">
    <w:name w:val="toc 9"/>
    <w:basedOn w:val="Normal"/>
    <w:next w:val="Normal"/>
    <w:autoRedefine/>
    <w:uiPriority w:val="39"/>
    <w:semiHidden/>
    <w:rsid w:val="00B334FE"/>
    <w:pPr>
      <w:keepNext/>
      <w:pBdr>
        <w:top w:val="single" w:sz="4" w:space="6" w:color="6EB02D" w:themeColor="accent1"/>
        <w:between w:val="single" w:sz="4" w:space="6" w:color="6EB02D" w:themeColor="accent1"/>
      </w:pBdr>
      <w:tabs>
        <w:tab w:val="right" w:pos="6804"/>
      </w:tabs>
      <w:spacing w:before="240" w:after="0"/>
    </w:pPr>
    <w:rPr>
      <w:b/>
      <w:sz w:val="24"/>
    </w:rPr>
  </w:style>
  <w:style w:type="paragraph" w:customStyle="1" w:styleId="InsideCoverClientName">
    <w:name w:val="InsideCoverClientName"/>
    <w:basedOn w:val="Normal"/>
    <w:uiPriority w:val="41"/>
    <w:semiHidden/>
    <w:qFormat/>
    <w:rsid w:val="00B334FE"/>
    <w:pPr>
      <w:spacing w:before="160" w:after="240"/>
    </w:pPr>
    <w:rPr>
      <w:b/>
      <w:color w:val="000000" w:themeColor="text1"/>
      <w:sz w:val="24"/>
    </w:rPr>
  </w:style>
  <w:style w:type="paragraph" w:customStyle="1" w:styleId="InsideCoverMainTitle">
    <w:name w:val="InsideCoverMainTitle"/>
    <w:basedOn w:val="InsideCoverClientName"/>
    <w:uiPriority w:val="41"/>
    <w:semiHidden/>
    <w:qFormat/>
    <w:rsid w:val="00B334FE"/>
    <w:pPr>
      <w:spacing w:after="0"/>
    </w:pPr>
    <w:rPr>
      <w:color w:val="6EB02D" w:themeColor="accent1"/>
    </w:rPr>
  </w:style>
  <w:style w:type="paragraph" w:customStyle="1" w:styleId="InsideCoverSubTitle">
    <w:name w:val="InsideCoverSubTitle"/>
    <w:basedOn w:val="InsideCoverMainTitle"/>
    <w:uiPriority w:val="41"/>
    <w:semiHidden/>
    <w:qFormat/>
    <w:rsid w:val="00B334FE"/>
    <w:pPr>
      <w:spacing w:before="0" w:after="240"/>
    </w:pPr>
    <w:rPr>
      <w:noProof/>
      <w:color w:val="808080" w:themeColor="background1" w:themeShade="80"/>
    </w:rPr>
  </w:style>
  <w:style w:type="paragraph" w:styleId="BalloonText">
    <w:name w:val="Balloon Text"/>
    <w:basedOn w:val="Normal"/>
    <w:link w:val="BalloonTextChar"/>
    <w:uiPriority w:val="99"/>
    <w:semiHidden/>
    <w:unhideWhenUsed/>
    <w:rsid w:val="00B334FE"/>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334FE"/>
    <w:rPr>
      <w:rFonts w:ascii="Segoe UI" w:hAnsi="Segoe UI" w:cs="Segoe UI"/>
    </w:rPr>
  </w:style>
  <w:style w:type="paragraph" w:customStyle="1" w:styleId="LargeHeadingNoTOC">
    <w:name w:val="Large Heading NoTOC"/>
    <w:basedOn w:val="Normal"/>
    <w:uiPriority w:val="34"/>
    <w:semiHidden/>
    <w:qFormat/>
    <w:rsid w:val="00B334FE"/>
    <w:pPr>
      <w:spacing w:before="400" w:after="480" w:line="480" w:lineRule="exact"/>
    </w:pPr>
    <w:rPr>
      <w:b/>
      <w:color w:val="6EB02D" w:themeColor="accent1"/>
      <w:sz w:val="44"/>
    </w:rPr>
  </w:style>
  <w:style w:type="paragraph" w:customStyle="1" w:styleId="InsideCoverTableHead">
    <w:name w:val="Inside Cover Table Head"/>
    <w:basedOn w:val="TableText"/>
    <w:uiPriority w:val="32"/>
    <w:semiHidden/>
    <w:qFormat/>
    <w:rsid w:val="00B334FE"/>
    <w:pPr>
      <w:spacing w:before="0" w:after="80" w:line="240" w:lineRule="atLeast"/>
      <w:ind w:left="0"/>
    </w:pPr>
    <w:rPr>
      <w:b/>
      <w:color w:val="6EB02D" w:themeColor="accent1"/>
      <w:sz w:val="24"/>
    </w:rPr>
  </w:style>
  <w:style w:type="paragraph" w:customStyle="1" w:styleId="DividerTitle">
    <w:name w:val="Divider Title"/>
    <w:basedOn w:val="DocMainTitle"/>
    <w:uiPriority w:val="32"/>
    <w:semiHidden/>
    <w:qFormat/>
    <w:rsid w:val="00B334FE"/>
    <w:pPr>
      <w:spacing w:before="400"/>
    </w:pPr>
  </w:style>
  <w:style w:type="paragraph" w:customStyle="1" w:styleId="DividerTitleWhite">
    <w:name w:val="Divider Title White"/>
    <w:basedOn w:val="DividerTitle"/>
    <w:uiPriority w:val="32"/>
    <w:semiHidden/>
    <w:qFormat/>
    <w:rsid w:val="00B334FE"/>
    <w:rPr>
      <w:color w:val="FFFFFF" w:themeColor="background1"/>
    </w:rPr>
  </w:style>
  <w:style w:type="paragraph" w:customStyle="1" w:styleId="DividerTitleBlack">
    <w:name w:val="Divider Title Black"/>
    <w:basedOn w:val="DividerTitle"/>
    <w:uiPriority w:val="32"/>
    <w:semiHidden/>
    <w:qFormat/>
    <w:rsid w:val="00B334FE"/>
    <w:rPr>
      <w:color w:val="000000" w:themeColor="text1"/>
    </w:rPr>
  </w:style>
  <w:style w:type="numbering" w:customStyle="1" w:styleId="NumLstAppendix">
    <w:name w:val="NumLstAppendix"/>
    <w:uiPriority w:val="99"/>
    <w:rsid w:val="00B334FE"/>
    <w:pPr>
      <w:numPr>
        <w:numId w:val="5"/>
      </w:numPr>
    </w:pPr>
  </w:style>
  <w:style w:type="paragraph" w:styleId="NoSpacing">
    <w:name w:val="No Spacing"/>
    <w:uiPriority w:val="49"/>
    <w:semiHidden/>
    <w:qFormat/>
    <w:rsid w:val="00B334FE"/>
    <w:pPr>
      <w:spacing w:after="0" w:line="240" w:lineRule="auto"/>
    </w:pPr>
  </w:style>
  <w:style w:type="paragraph" w:customStyle="1" w:styleId="HeaderIndentedBold">
    <w:name w:val="Header Indented Bold"/>
    <w:basedOn w:val="HeaderIndentedgreen"/>
    <w:uiPriority w:val="49"/>
    <w:semiHidden/>
    <w:qFormat/>
    <w:rsid w:val="00B334FE"/>
    <w:pPr>
      <w:spacing w:after="0"/>
    </w:pPr>
    <w:rPr>
      <w:color w:val="000000" w:themeColor="text1"/>
    </w:rPr>
  </w:style>
  <w:style w:type="paragraph" w:customStyle="1" w:styleId="DividerTitleTextBox">
    <w:name w:val="Divider Title TextBox"/>
    <w:basedOn w:val="Normal"/>
    <w:uiPriority w:val="32"/>
    <w:semiHidden/>
    <w:qFormat/>
    <w:rsid w:val="00B334FE"/>
    <w:pPr>
      <w:pageBreakBefore/>
    </w:pPr>
    <w:rPr>
      <w:b/>
      <w:color w:val="FFFFFF" w:themeColor="background1"/>
      <w:sz w:val="44"/>
    </w:rPr>
  </w:style>
  <w:style w:type="paragraph" w:customStyle="1" w:styleId="DividerPageHolder">
    <w:name w:val="DividerPageHolder"/>
    <w:basedOn w:val="Normal"/>
    <w:next w:val="Heading1"/>
    <w:uiPriority w:val="32"/>
    <w:semiHidden/>
    <w:qFormat/>
    <w:rsid w:val="00B334FE"/>
    <w:pPr>
      <w:pageBreakBefore/>
    </w:pPr>
  </w:style>
  <w:style w:type="paragraph" w:customStyle="1" w:styleId="InsideCoverReference">
    <w:name w:val="InsideCoverReference"/>
    <w:basedOn w:val="DocSmallTitle"/>
    <w:uiPriority w:val="41"/>
    <w:semiHidden/>
    <w:qFormat/>
    <w:rsid w:val="00B334FE"/>
    <w:pPr>
      <w:spacing w:line="180" w:lineRule="atLeast"/>
    </w:pPr>
  </w:style>
  <w:style w:type="paragraph" w:customStyle="1" w:styleId="InsideCoverReferenceNo">
    <w:name w:val="InsideCoverReferenceNo"/>
    <w:basedOn w:val="Normal"/>
    <w:uiPriority w:val="41"/>
    <w:semiHidden/>
    <w:qFormat/>
    <w:rsid w:val="00B334FE"/>
    <w:pPr>
      <w:spacing w:after="0" w:line="180" w:lineRule="atLeast"/>
    </w:pPr>
  </w:style>
  <w:style w:type="paragraph" w:customStyle="1" w:styleId="TableNumb">
    <w:name w:val="Table Numb"/>
    <w:basedOn w:val="TableText"/>
    <w:uiPriority w:val="27"/>
    <w:rsid w:val="00654B9B"/>
    <w:pPr>
      <w:jc w:val="right"/>
    </w:pPr>
  </w:style>
  <w:style w:type="paragraph" w:customStyle="1" w:styleId="TableHeadingRight">
    <w:name w:val="Table Heading Right"/>
    <w:basedOn w:val="TableHeading"/>
    <w:uiPriority w:val="25"/>
    <w:rsid w:val="00654B9B"/>
    <w:pPr>
      <w:jc w:val="right"/>
    </w:pPr>
  </w:style>
  <w:style w:type="paragraph" w:customStyle="1" w:styleId="TableTextBold">
    <w:name w:val="Table Text Bold"/>
    <w:basedOn w:val="TableText"/>
    <w:uiPriority w:val="26"/>
    <w:rsid w:val="00654B9B"/>
    <w:rPr>
      <w:b/>
    </w:rPr>
  </w:style>
  <w:style w:type="paragraph" w:customStyle="1" w:styleId="TableNumbBold">
    <w:name w:val="Table Numb Bold"/>
    <w:basedOn w:val="TableNumb"/>
    <w:uiPriority w:val="27"/>
    <w:rsid w:val="00654B9B"/>
    <w:rPr>
      <w:b/>
    </w:rPr>
  </w:style>
  <w:style w:type="paragraph" w:customStyle="1" w:styleId="TableNumbNeg">
    <w:name w:val="Table Numb Neg"/>
    <w:basedOn w:val="TableNumb"/>
    <w:uiPriority w:val="27"/>
    <w:rsid w:val="00654B9B"/>
    <w:pPr>
      <w:ind w:right="-57"/>
    </w:pPr>
  </w:style>
  <w:style w:type="paragraph" w:customStyle="1" w:styleId="NormalNoSpace">
    <w:name w:val="NormalNoSpace"/>
    <w:basedOn w:val="Normal"/>
    <w:uiPriority w:val="4"/>
    <w:qFormat/>
    <w:rsid w:val="00B334FE"/>
    <w:pPr>
      <w:spacing w:after="0" w:line="240" w:lineRule="auto"/>
    </w:pPr>
  </w:style>
  <w:style w:type="paragraph" w:customStyle="1" w:styleId="NormalHalfSpace">
    <w:name w:val="NormalHalfSpace"/>
    <w:basedOn w:val="Normal"/>
    <w:uiPriority w:val="39"/>
    <w:semiHidden/>
    <w:qFormat/>
    <w:rsid w:val="00B334FE"/>
    <w:pPr>
      <w:spacing w:after="0" w:line="240" w:lineRule="auto"/>
    </w:pPr>
    <w:rPr>
      <w:sz w:val="9"/>
    </w:rPr>
  </w:style>
  <w:style w:type="paragraph" w:customStyle="1" w:styleId="DocClientNameWhite">
    <w:name w:val="DocClientNameWhite"/>
    <w:basedOn w:val="Normal"/>
    <w:next w:val="DocMainTitle"/>
    <w:uiPriority w:val="39"/>
    <w:semiHidden/>
    <w:qFormat/>
    <w:rsid w:val="00B334FE"/>
    <w:pPr>
      <w:spacing w:before="120" w:after="240" w:line="360" w:lineRule="exact"/>
    </w:pPr>
    <w:rPr>
      <w:b/>
      <w:color w:val="FFFFFF"/>
      <w:sz w:val="32"/>
    </w:rPr>
  </w:style>
  <w:style w:type="paragraph" w:customStyle="1" w:styleId="DocMainTitleWhite">
    <w:name w:val="DocMainTitleWhite"/>
    <w:basedOn w:val="Normal"/>
    <w:next w:val="DocSubTitle"/>
    <w:uiPriority w:val="39"/>
    <w:semiHidden/>
    <w:qFormat/>
    <w:rsid w:val="00B334FE"/>
    <w:pPr>
      <w:spacing w:after="0" w:line="480" w:lineRule="exact"/>
      <w:contextualSpacing/>
    </w:pPr>
    <w:rPr>
      <w:b/>
      <w:color w:val="FFFFFF"/>
      <w:sz w:val="44"/>
    </w:rPr>
  </w:style>
  <w:style w:type="paragraph" w:customStyle="1" w:styleId="DocMainTitleBlack">
    <w:name w:val="DocMainTitleBlack"/>
    <w:basedOn w:val="DocMainTitle"/>
    <w:next w:val="DocSubTitle"/>
    <w:uiPriority w:val="39"/>
    <w:semiHidden/>
    <w:qFormat/>
    <w:rsid w:val="00B334FE"/>
    <w:rPr>
      <w:color w:val="000000"/>
    </w:rPr>
  </w:style>
  <w:style w:type="paragraph" w:customStyle="1" w:styleId="DocSmallTitleWhite">
    <w:name w:val="DocSmallTitleWhite"/>
    <w:basedOn w:val="DocSmallTitle"/>
    <w:next w:val="DocPreparedBy"/>
    <w:uiPriority w:val="39"/>
    <w:semiHidden/>
    <w:qFormat/>
    <w:rsid w:val="00B334FE"/>
    <w:rPr>
      <w:color w:val="FFFFFF"/>
    </w:rPr>
  </w:style>
  <w:style w:type="paragraph" w:customStyle="1" w:styleId="DocPreparedByWhite">
    <w:name w:val="DocPreparedByWhite"/>
    <w:basedOn w:val="DocPreparedBy"/>
    <w:next w:val="DocReportDate"/>
    <w:uiPriority w:val="39"/>
    <w:semiHidden/>
    <w:qFormat/>
    <w:rsid w:val="00B334FE"/>
    <w:rPr>
      <w:color w:val="FFFFFF"/>
    </w:rPr>
  </w:style>
  <w:style w:type="paragraph" w:customStyle="1" w:styleId="DocReportDateWhite">
    <w:name w:val="DocReportDateWhite"/>
    <w:basedOn w:val="DocReportDate"/>
    <w:next w:val="Normal"/>
    <w:uiPriority w:val="39"/>
    <w:semiHidden/>
    <w:qFormat/>
    <w:rsid w:val="00B334FE"/>
    <w:rPr>
      <w:color w:val="FFFFFF"/>
    </w:rPr>
  </w:style>
  <w:style w:type="paragraph" w:customStyle="1" w:styleId="HeaderIndentedText">
    <w:name w:val="Header Indented Text"/>
    <w:basedOn w:val="HeaderIndentedgreen"/>
    <w:uiPriority w:val="39"/>
    <w:semiHidden/>
    <w:qFormat/>
    <w:rsid w:val="00B334FE"/>
    <w:pPr>
      <w:contextualSpacing/>
    </w:pPr>
    <w:rPr>
      <w:noProof/>
      <w:color w:val="auto"/>
    </w:rPr>
  </w:style>
  <w:style w:type="paragraph" w:customStyle="1" w:styleId="HeaderContents">
    <w:name w:val="HeaderContents"/>
    <w:basedOn w:val="Header"/>
    <w:uiPriority w:val="39"/>
    <w:semiHidden/>
    <w:qFormat/>
    <w:rsid w:val="00B334FE"/>
    <w:pPr>
      <w:spacing w:line="240" w:lineRule="auto"/>
    </w:pPr>
    <w:rPr>
      <w:b/>
      <w:color w:val="6EB02D" w:themeColor="accent1"/>
      <w:sz w:val="32"/>
    </w:rPr>
  </w:style>
  <w:style w:type="paragraph" w:customStyle="1" w:styleId="ITTFooterText">
    <w:name w:val="ITTFooterText"/>
    <w:basedOn w:val="SmallPrint"/>
    <w:uiPriority w:val="39"/>
    <w:semiHidden/>
    <w:qFormat/>
    <w:rsid w:val="00B334FE"/>
    <w:pPr>
      <w:spacing w:after="0" w:line="160" w:lineRule="atLeast"/>
      <w:contextualSpacing w:val="0"/>
    </w:pPr>
  </w:style>
  <w:style w:type="paragraph" w:customStyle="1" w:styleId="HeaderGreen">
    <w:name w:val="Header Green"/>
    <w:basedOn w:val="Header"/>
    <w:uiPriority w:val="39"/>
    <w:semiHidden/>
    <w:qFormat/>
    <w:rsid w:val="00B334FE"/>
    <w:pPr>
      <w:spacing w:after="160"/>
    </w:pPr>
    <w:rPr>
      <w:color w:val="6EB02D" w:themeColor="accent1"/>
    </w:rPr>
  </w:style>
  <w:style w:type="paragraph" w:customStyle="1" w:styleId="NormalIndent">
    <w:name w:val="NormalIndent"/>
    <w:basedOn w:val="Normal"/>
    <w:uiPriority w:val="4"/>
    <w:qFormat/>
    <w:rsid w:val="00B334FE"/>
    <w:pPr>
      <w:ind w:left="454"/>
    </w:pPr>
  </w:style>
  <w:style w:type="paragraph" w:customStyle="1" w:styleId="AppendixNumb">
    <w:name w:val="Appendix Numb"/>
    <w:basedOn w:val="Heading1"/>
    <w:next w:val="Heading2"/>
    <w:uiPriority w:val="39"/>
    <w:semiHidden/>
    <w:qFormat/>
    <w:rsid w:val="00D53012"/>
    <w:pPr>
      <w:numPr>
        <w:numId w:val="22"/>
      </w:numPr>
    </w:pPr>
  </w:style>
  <w:style w:type="paragraph" w:customStyle="1" w:styleId="HeaderLandIndentedBold">
    <w:name w:val="Header Land Indented Bold"/>
    <w:basedOn w:val="HeaderIndentedBold"/>
    <w:uiPriority w:val="39"/>
    <w:semiHidden/>
    <w:qFormat/>
    <w:rsid w:val="00B334FE"/>
    <w:pPr>
      <w:ind w:left="7853"/>
    </w:pPr>
  </w:style>
  <w:style w:type="paragraph" w:customStyle="1" w:styleId="HeaderLandIndentedgreen">
    <w:name w:val="Header Land Indented green"/>
    <w:basedOn w:val="HeaderIndentedgreen"/>
    <w:uiPriority w:val="39"/>
    <w:semiHidden/>
    <w:qFormat/>
    <w:rsid w:val="00B334FE"/>
    <w:pPr>
      <w:ind w:left="7853"/>
    </w:pPr>
  </w:style>
  <w:style w:type="paragraph" w:customStyle="1" w:styleId="HeaderLandIndentedText">
    <w:name w:val="Header Land Indented Text"/>
    <w:basedOn w:val="HeaderIndentedText"/>
    <w:uiPriority w:val="39"/>
    <w:semiHidden/>
    <w:qFormat/>
    <w:rsid w:val="00B334FE"/>
    <w:pPr>
      <w:ind w:left="7853"/>
    </w:pPr>
  </w:style>
  <w:style w:type="paragraph" w:customStyle="1" w:styleId="Heading1Land">
    <w:name w:val="Heading 1Land"/>
    <w:basedOn w:val="Heading1"/>
    <w:next w:val="Heading2Land"/>
    <w:uiPriority w:val="39"/>
    <w:semiHidden/>
    <w:qFormat/>
    <w:rsid w:val="00D53012"/>
    <w:pPr>
      <w:numPr>
        <w:numId w:val="0"/>
      </w:numPr>
      <w:shd w:val="clear" w:color="auto" w:fill="FFFFFF"/>
    </w:pPr>
  </w:style>
  <w:style w:type="paragraph" w:customStyle="1" w:styleId="Heading2Land">
    <w:name w:val="Heading 2Land"/>
    <w:basedOn w:val="Heading1Land"/>
    <w:next w:val="NumberedParagraph"/>
    <w:uiPriority w:val="39"/>
    <w:semiHidden/>
    <w:qFormat/>
    <w:rsid w:val="00D53012"/>
    <w:rPr>
      <w:color w:val="6EB02D" w:themeColor="accent1"/>
    </w:rPr>
  </w:style>
  <w:style w:type="character" w:customStyle="1" w:styleId="Heading1Char0">
    <w:name w:val="Heading 1Char"/>
    <w:basedOn w:val="DefaultParagraphFont"/>
    <w:uiPriority w:val="39"/>
    <w:semiHidden/>
    <w:qFormat/>
    <w:rsid w:val="00B334FE"/>
  </w:style>
  <w:style w:type="character" w:customStyle="1" w:styleId="Heading2Char0">
    <w:name w:val="Heading 2Char"/>
    <w:basedOn w:val="DefaultParagraphFont"/>
    <w:uiPriority w:val="39"/>
    <w:semiHidden/>
    <w:qFormat/>
    <w:rsid w:val="00B334FE"/>
  </w:style>
  <w:style w:type="paragraph" w:customStyle="1" w:styleId="AppendixNumbLand">
    <w:name w:val="Appendix Numb Land"/>
    <w:basedOn w:val="AppendixNumb"/>
    <w:next w:val="Heading2Land"/>
    <w:uiPriority w:val="39"/>
    <w:semiHidden/>
    <w:qFormat/>
    <w:rsid w:val="00D53012"/>
    <w:pPr>
      <w:numPr>
        <w:numId w:val="0"/>
      </w:numPr>
    </w:pPr>
  </w:style>
  <w:style w:type="paragraph" w:customStyle="1" w:styleId="Heading2LastPara">
    <w:name w:val="Heading 2LastPara"/>
    <w:basedOn w:val="Heading2"/>
    <w:uiPriority w:val="39"/>
    <w:semiHidden/>
    <w:qFormat/>
    <w:rsid w:val="00D53012"/>
    <w:rPr>
      <w:color w:val="auto"/>
      <w:sz w:val="16"/>
    </w:rPr>
  </w:style>
  <w:style w:type="paragraph" w:customStyle="1" w:styleId="SectionHeading">
    <w:name w:val="Section Heading"/>
    <w:basedOn w:val="Heading1"/>
    <w:next w:val="Heading1"/>
    <w:uiPriority w:val="39"/>
    <w:semiHidden/>
    <w:rsid w:val="00D53012"/>
    <w:pPr>
      <w:pageBreakBefore/>
      <w:numPr>
        <w:numId w:val="0"/>
      </w:numPr>
      <w:spacing w:after="560"/>
      <w:outlineLvl w:val="9"/>
    </w:pPr>
    <w:rPr>
      <w:color w:val="FFFFFF"/>
    </w:rPr>
  </w:style>
  <w:style w:type="paragraph" w:customStyle="1" w:styleId="SectionHeadingLand">
    <w:name w:val="Section HeadingLand"/>
    <w:basedOn w:val="Heading1Land"/>
    <w:next w:val="Heading1Land"/>
    <w:uiPriority w:val="39"/>
    <w:semiHidden/>
    <w:qFormat/>
    <w:rsid w:val="00D53012"/>
    <w:pPr>
      <w:pageBreakBefore/>
      <w:spacing w:after="560"/>
      <w:outlineLvl w:val="9"/>
    </w:pPr>
    <w:rPr>
      <w:rFonts w:ascii="Arial" w:hAnsi="Arial"/>
      <w:color w:val="FFFFFF"/>
    </w:rPr>
  </w:style>
  <w:style w:type="paragraph" w:customStyle="1" w:styleId="Heading3Land">
    <w:name w:val="Heading 3Land"/>
    <w:basedOn w:val="Heading3"/>
    <w:uiPriority w:val="39"/>
    <w:semiHidden/>
    <w:qFormat/>
    <w:rsid w:val="00D53012"/>
    <w:pPr>
      <w:shd w:val="clear" w:color="auto" w:fill="FFFFFF"/>
    </w:pPr>
  </w:style>
  <w:style w:type="paragraph" w:customStyle="1" w:styleId="TableSource">
    <w:name w:val="Table Source"/>
    <w:basedOn w:val="Figurecaption"/>
    <w:next w:val="Normal"/>
    <w:uiPriority w:val="29"/>
    <w:semiHidden/>
    <w:rsid w:val="00371CC8"/>
    <w:rPr>
      <w:sz w:val="16"/>
    </w:rPr>
  </w:style>
  <w:style w:type="paragraph" w:customStyle="1" w:styleId="Heading4NoTOC">
    <w:name w:val="Heading 4NoTOC"/>
    <w:basedOn w:val="Heading4"/>
    <w:next w:val="Normal"/>
    <w:uiPriority w:val="39"/>
    <w:semiHidden/>
    <w:qFormat/>
    <w:rsid w:val="00B334FE"/>
  </w:style>
  <w:style w:type="paragraph" w:customStyle="1" w:styleId="Heading5NoTOC">
    <w:name w:val="Heading 5NoTOC"/>
    <w:basedOn w:val="Heading5"/>
    <w:next w:val="Normal"/>
    <w:uiPriority w:val="39"/>
    <w:semiHidden/>
    <w:qFormat/>
    <w:rsid w:val="00B334FE"/>
  </w:style>
  <w:style w:type="paragraph" w:customStyle="1" w:styleId="FootnoteSeperator">
    <w:name w:val="FootnoteSeperator"/>
    <w:basedOn w:val="Normal"/>
    <w:uiPriority w:val="99"/>
    <w:semiHidden/>
    <w:rsid w:val="00B334FE"/>
    <w:pPr>
      <w:tabs>
        <w:tab w:val="left" w:leader="underscore" w:pos="4990"/>
      </w:tabs>
      <w:ind w:left="-57"/>
    </w:pPr>
    <w:rPr>
      <w:color w:val="878787" w:themeColor="text2"/>
    </w:rPr>
  </w:style>
  <w:style w:type="paragraph" w:styleId="Quote">
    <w:name w:val="Quote"/>
    <w:basedOn w:val="Normal"/>
    <w:next w:val="Normal"/>
    <w:link w:val="QuoteChar"/>
    <w:uiPriority w:val="29"/>
    <w:semiHidden/>
    <w:qFormat/>
    <w:rsid w:val="00B334FE"/>
    <w:pPr>
      <w:spacing w:before="120"/>
    </w:pPr>
    <w:rPr>
      <w:b/>
      <w:i/>
      <w:iCs/>
      <w:color w:val="878787"/>
      <w:sz w:val="32"/>
    </w:rPr>
  </w:style>
  <w:style w:type="character" w:customStyle="1" w:styleId="QuoteChar">
    <w:name w:val="Quote Char"/>
    <w:basedOn w:val="DefaultParagraphFont"/>
    <w:link w:val="Quote"/>
    <w:uiPriority w:val="29"/>
    <w:semiHidden/>
    <w:rsid w:val="00612306"/>
    <w:rPr>
      <w:rFonts w:ascii="Arial" w:hAnsi="Arial"/>
      <w:b/>
      <w:i/>
      <w:iCs/>
      <w:color w:val="878787"/>
      <w:sz w:val="32"/>
    </w:rPr>
  </w:style>
  <w:style w:type="paragraph" w:customStyle="1" w:styleId="Divider">
    <w:name w:val="Divider"/>
    <w:basedOn w:val="Normal"/>
    <w:next w:val="Normal"/>
    <w:uiPriority w:val="39"/>
    <w:semiHidden/>
    <w:qFormat/>
    <w:rsid w:val="00D53012"/>
    <w:pPr>
      <w:pageBreakBefore/>
      <w:pBdr>
        <w:top w:val="single" w:sz="4" w:space="31" w:color="FFFFFF"/>
        <w:left w:val="single" w:sz="4" w:space="10" w:color="FFFFFF"/>
        <w:bottom w:val="single" w:sz="4" w:space="10" w:color="FFFFFF"/>
        <w:right w:val="single" w:sz="4" w:space="10" w:color="FFFFFF"/>
      </w:pBdr>
      <w:shd w:val="clear" w:color="auto" w:fill="FFFFFF"/>
    </w:pPr>
    <w:rPr>
      <w:b/>
      <w:sz w:val="44"/>
    </w:rPr>
  </w:style>
  <w:style w:type="paragraph" w:customStyle="1" w:styleId="DividerGreen">
    <w:name w:val="DividerGreen"/>
    <w:basedOn w:val="Divider"/>
    <w:next w:val="Normal"/>
    <w:uiPriority w:val="39"/>
    <w:semiHidden/>
    <w:qFormat/>
    <w:rsid w:val="00D53012"/>
    <w:rPr>
      <w:color w:val="6EB02D" w:themeColor="accent1"/>
    </w:rPr>
  </w:style>
  <w:style w:type="paragraph" w:customStyle="1" w:styleId="QuoteMarkers">
    <w:name w:val="QuoteMarkers"/>
    <w:basedOn w:val="Quote"/>
    <w:uiPriority w:val="39"/>
    <w:semiHidden/>
    <w:qFormat/>
    <w:rsid w:val="00B334FE"/>
    <w:pPr>
      <w:spacing w:line="400" w:lineRule="exact"/>
      <w:ind w:left="-85"/>
    </w:pPr>
    <w:rPr>
      <w:position w:val="-32"/>
      <w:sz w:val="80"/>
      <w:szCs w:val="92"/>
    </w:rPr>
  </w:style>
  <w:style w:type="paragraph" w:customStyle="1" w:styleId="CVQualifications">
    <w:name w:val="CV Qualifications"/>
    <w:basedOn w:val="Introduction"/>
    <w:next w:val="CVJobTitle"/>
    <w:uiPriority w:val="38"/>
    <w:semiHidden/>
    <w:qFormat/>
    <w:rsid w:val="00B334FE"/>
    <w:pPr>
      <w:spacing w:after="0" w:line="240" w:lineRule="auto"/>
    </w:pPr>
    <w:rPr>
      <w:sz w:val="24"/>
    </w:rPr>
  </w:style>
  <w:style w:type="paragraph" w:customStyle="1" w:styleId="CVJobTitle">
    <w:name w:val="CV Job Title"/>
    <w:basedOn w:val="InsideCoverReferenceNo"/>
    <w:uiPriority w:val="38"/>
    <w:semiHidden/>
    <w:qFormat/>
    <w:rsid w:val="00D53012"/>
    <w:rPr>
      <w:rFonts w:cs="Arial"/>
      <w:b/>
      <w:bCs/>
      <w:color w:val="000000"/>
      <w:sz w:val="24"/>
      <w:szCs w:val="24"/>
    </w:rPr>
  </w:style>
  <w:style w:type="paragraph" w:customStyle="1" w:styleId="CVName">
    <w:name w:val="CV Name"/>
    <w:basedOn w:val="Normal"/>
    <w:next w:val="CVQualifications"/>
    <w:uiPriority w:val="38"/>
    <w:semiHidden/>
    <w:qFormat/>
    <w:rsid w:val="00D53012"/>
    <w:pPr>
      <w:autoSpaceDE w:val="0"/>
      <w:autoSpaceDN w:val="0"/>
      <w:adjustRightInd w:val="0"/>
      <w:spacing w:after="80" w:line="240" w:lineRule="auto"/>
    </w:pPr>
    <w:rPr>
      <w:rFonts w:cs="Arial"/>
      <w:b/>
      <w:bCs/>
      <w:color w:val="6EB12D"/>
      <w:sz w:val="32"/>
      <w:szCs w:val="32"/>
    </w:rPr>
  </w:style>
  <w:style w:type="paragraph" w:customStyle="1" w:styleId="SidepanelQuote">
    <w:name w:val="Sidepanel Quote"/>
    <w:basedOn w:val="Normal"/>
    <w:next w:val="SidepanelQuoteAuthor"/>
    <w:uiPriority w:val="14"/>
    <w:qFormat/>
    <w:rsid w:val="00B334FE"/>
    <w:pPr>
      <w:autoSpaceDE w:val="0"/>
      <w:autoSpaceDN w:val="0"/>
      <w:adjustRightInd w:val="0"/>
      <w:spacing w:after="0" w:line="240" w:lineRule="auto"/>
      <w:ind w:left="51" w:right="454" w:hanging="51"/>
    </w:pPr>
    <w:rPr>
      <w:rFonts w:cs="ArialMT"/>
      <w:color w:val="6EB12D"/>
      <w:sz w:val="14"/>
      <w:szCs w:val="14"/>
    </w:rPr>
  </w:style>
  <w:style w:type="paragraph" w:customStyle="1" w:styleId="SidepanelQuoteAuthor">
    <w:name w:val="Sidepanel Quote Author"/>
    <w:basedOn w:val="Normal"/>
    <w:next w:val="SidepanelHeading"/>
    <w:uiPriority w:val="14"/>
    <w:qFormat/>
    <w:rsid w:val="00B334FE"/>
    <w:pPr>
      <w:autoSpaceDE w:val="0"/>
      <w:autoSpaceDN w:val="0"/>
      <w:adjustRightInd w:val="0"/>
      <w:spacing w:line="240" w:lineRule="auto"/>
      <w:ind w:left="51"/>
    </w:pPr>
    <w:rPr>
      <w:rFonts w:cs="Arial-BoldMT"/>
      <w:b/>
      <w:bCs/>
      <w:color w:val="6EB12D"/>
      <w:sz w:val="14"/>
      <w:szCs w:val="14"/>
    </w:rPr>
  </w:style>
  <w:style w:type="paragraph" w:customStyle="1" w:styleId="SidepanelHeading">
    <w:name w:val="Sidepanel Heading"/>
    <w:basedOn w:val="Normal"/>
    <w:next w:val="SidepanelText"/>
    <w:uiPriority w:val="13"/>
    <w:qFormat/>
    <w:rsid w:val="00AE6DC8"/>
    <w:pPr>
      <w:autoSpaceDE w:val="0"/>
      <w:autoSpaceDN w:val="0"/>
      <w:adjustRightInd w:val="0"/>
      <w:spacing w:before="120" w:after="0" w:line="240" w:lineRule="auto"/>
    </w:pPr>
    <w:rPr>
      <w:rFonts w:cs="Arial"/>
      <w:b/>
      <w:bCs/>
      <w:color w:val="888887"/>
      <w:sz w:val="14"/>
      <w:szCs w:val="14"/>
    </w:rPr>
  </w:style>
  <w:style w:type="paragraph" w:customStyle="1" w:styleId="SidepanelText">
    <w:name w:val="Sidepanel Text"/>
    <w:basedOn w:val="Normal"/>
    <w:uiPriority w:val="13"/>
    <w:qFormat/>
    <w:rsid w:val="00B334FE"/>
    <w:pPr>
      <w:autoSpaceDE w:val="0"/>
      <w:autoSpaceDN w:val="0"/>
      <w:adjustRightInd w:val="0"/>
      <w:spacing w:after="0" w:line="240" w:lineRule="auto"/>
    </w:pPr>
    <w:rPr>
      <w:rFonts w:cs="Arial"/>
      <w:color w:val="888887"/>
      <w:sz w:val="14"/>
      <w:szCs w:val="14"/>
    </w:rPr>
  </w:style>
  <w:style w:type="paragraph" w:customStyle="1" w:styleId="CVHeading1">
    <w:name w:val="CV Heading 1"/>
    <w:basedOn w:val="Heading4"/>
    <w:next w:val="Normal"/>
    <w:uiPriority w:val="38"/>
    <w:semiHidden/>
    <w:qFormat/>
    <w:rsid w:val="00B334FE"/>
  </w:style>
  <w:style w:type="paragraph" w:customStyle="1" w:styleId="CVHeading2">
    <w:name w:val="CV Heading 2"/>
    <w:basedOn w:val="Normal"/>
    <w:next w:val="Normal"/>
    <w:uiPriority w:val="38"/>
    <w:semiHidden/>
    <w:qFormat/>
    <w:rsid w:val="00B334FE"/>
    <w:pPr>
      <w:keepNext/>
      <w:autoSpaceDE w:val="0"/>
      <w:autoSpaceDN w:val="0"/>
      <w:adjustRightInd w:val="0"/>
      <w:spacing w:before="240" w:after="0" w:line="240" w:lineRule="auto"/>
    </w:pPr>
    <w:rPr>
      <w:rFonts w:cs="Arial-BoldMT"/>
      <w:b/>
      <w:bCs/>
    </w:rPr>
  </w:style>
  <w:style w:type="paragraph" w:customStyle="1" w:styleId="CVIntro">
    <w:name w:val="CV Intro"/>
    <w:basedOn w:val="Normal"/>
    <w:next w:val="CVHeading1"/>
    <w:uiPriority w:val="38"/>
    <w:semiHidden/>
    <w:qFormat/>
    <w:rsid w:val="00B334FE"/>
    <w:pPr>
      <w:spacing w:after="240"/>
    </w:pPr>
    <w:rPr>
      <w:rFonts w:cs="Arial-BoldMT"/>
      <w:b/>
      <w:bCs/>
      <w:color w:val="888887"/>
      <w:sz w:val="24"/>
      <w:szCs w:val="24"/>
    </w:rPr>
  </w:style>
  <w:style w:type="paragraph" w:customStyle="1" w:styleId="CaseStudyTitle">
    <w:name w:val="Case Study Title"/>
    <w:basedOn w:val="InsideCoverReferenceNo"/>
    <w:uiPriority w:val="39"/>
    <w:semiHidden/>
    <w:qFormat/>
    <w:rsid w:val="00BB6925"/>
    <w:pPr>
      <w:spacing w:after="240"/>
    </w:pPr>
    <w:rPr>
      <w:rFonts w:ascii="Arial Bold" w:hAnsi="Arial Bold" w:cs="Arial"/>
      <w:b/>
      <w:bCs/>
      <w:color w:val="000000"/>
      <w:sz w:val="32"/>
      <w:szCs w:val="24"/>
    </w:rPr>
  </w:style>
  <w:style w:type="paragraph" w:customStyle="1" w:styleId="CaseStudySubject">
    <w:name w:val="Case Study Subject"/>
    <w:basedOn w:val="Normal"/>
    <w:uiPriority w:val="39"/>
    <w:semiHidden/>
    <w:qFormat/>
    <w:rsid w:val="00D53012"/>
    <w:pPr>
      <w:autoSpaceDE w:val="0"/>
      <w:autoSpaceDN w:val="0"/>
      <w:adjustRightInd w:val="0"/>
      <w:spacing w:after="80" w:line="240" w:lineRule="auto"/>
    </w:pPr>
    <w:rPr>
      <w:rFonts w:ascii="Arial Bold" w:hAnsi="Arial Bold" w:cs="Arial"/>
      <w:b/>
      <w:bCs/>
      <w:color w:val="6EB12D"/>
      <w:sz w:val="44"/>
      <w:szCs w:val="32"/>
    </w:rPr>
  </w:style>
  <w:style w:type="paragraph" w:customStyle="1" w:styleId="DocumentHeading1">
    <w:name w:val="Document Heading 1"/>
    <w:basedOn w:val="Normal"/>
    <w:next w:val="Normal"/>
    <w:uiPriority w:val="1"/>
    <w:qFormat/>
    <w:rsid w:val="006931A7"/>
    <w:pPr>
      <w:keepNext/>
      <w:spacing w:before="360" w:after="240"/>
      <w:outlineLvl w:val="0"/>
    </w:pPr>
    <w:rPr>
      <w:b/>
      <w:color w:val="6EB02D" w:themeColor="accent1"/>
      <w:sz w:val="32"/>
    </w:rPr>
  </w:style>
  <w:style w:type="paragraph" w:customStyle="1" w:styleId="DocumentHeading1NoTOC">
    <w:name w:val="Document Heading 1NoTOC"/>
    <w:basedOn w:val="DocumentHeading1"/>
    <w:next w:val="Normal"/>
    <w:uiPriority w:val="38"/>
    <w:semiHidden/>
    <w:rsid w:val="00B334FE"/>
  </w:style>
  <w:style w:type="paragraph" w:customStyle="1" w:styleId="DocumentHeading2">
    <w:name w:val="Document Heading 2"/>
    <w:basedOn w:val="Normal"/>
    <w:next w:val="Normal"/>
    <w:uiPriority w:val="1"/>
    <w:qFormat/>
    <w:rsid w:val="006931A7"/>
    <w:pPr>
      <w:keepNext/>
      <w:spacing w:before="240"/>
      <w:outlineLvl w:val="1"/>
    </w:pPr>
    <w:rPr>
      <w:b/>
      <w:color w:val="6EB02D" w:themeColor="accent1"/>
      <w:sz w:val="24"/>
    </w:rPr>
  </w:style>
  <w:style w:type="paragraph" w:customStyle="1" w:styleId="DocumentHeading2NoTOC">
    <w:name w:val="Document Heading 2NoTOC"/>
    <w:basedOn w:val="DocumentHeading2"/>
    <w:next w:val="Normal"/>
    <w:uiPriority w:val="38"/>
    <w:semiHidden/>
    <w:rsid w:val="00B334FE"/>
  </w:style>
  <w:style w:type="paragraph" w:customStyle="1" w:styleId="DocumentHeading3">
    <w:name w:val="Document Heading 3"/>
    <w:basedOn w:val="Normal"/>
    <w:next w:val="Normal"/>
    <w:uiPriority w:val="1"/>
    <w:rsid w:val="006931A7"/>
    <w:pPr>
      <w:keepNext/>
      <w:spacing w:before="240"/>
      <w:outlineLvl w:val="2"/>
    </w:pPr>
    <w:rPr>
      <w:b/>
      <w:color w:val="6EB02D" w:themeColor="accent1"/>
    </w:rPr>
  </w:style>
  <w:style w:type="paragraph" w:customStyle="1" w:styleId="DocumentHeading4">
    <w:name w:val="Document Heading 4"/>
    <w:basedOn w:val="Heading6"/>
    <w:next w:val="Normal"/>
    <w:uiPriority w:val="1"/>
    <w:qFormat/>
    <w:rsid w:val="006931A7"/>
    <w:pPr>
      <w:keepLines w:val="0"/>
      <w:outlineLvl w:val="3"/>
    </w:pPr>
  </w:style>
  <w:style w:type="paragraph" w:customStyle="1" w:styleId="DocumentHeading5">
    <w:name w:val="Document Heading 5"/>
    <w:basedOn w:val="Normal"/>
    <w:next w:val="Normal"/>
    <w:uiPriority w:val="1"/>
    <w:qFormat/>
    <w:rsid w:val="006931A7"/>
    <w:pPr>
      <w:keepNext/>
      <w:spacing w:before="240" w:after="0"/>
      <w:outlineLvl w:val="4"/>
    </w:pPr>
    <w:rPr>
      <w:b/>
      <w:color w:val="000000" w:themeColor="text1"/>
    </w:rPr>
  </w:style>
  <w:style w:type="paragraph" w:styleId="CommentText">
    <w:name w:val="annotation text"/>
    <w:basedOn w:val="Normal"/>
    <w:link w:val="CommentTextChar"/>
    <w:uiPriority w:val="99"/>
    <w:semiHidden/>
    <w:unhideWhenUsed/>
    <w:rsid w:val="009314B6"/>
    <w:pPr>
      <w:spacing w:line="240" w:lineRule="auto"/>
    </w:pPr>
    <w:rPr>
      <w:sz w:val="20"/>
      <w:szCs w:val="20"/>
    </w:rPr>
  </w:style>
  <w:style w:type="character" w:customStyle="1" w:styleId="CommentTextChar">
    <w:name w:val="Comment Text Char"/>
    <w:basedOn w:val="DefaultParagraphFont"/>
    <w:link w:val="CommentText"/>
    <w:uiPriority w:val="99"/>
    <w:semiHidden/>
    <w:rsid w:val="009314B6"/>
    <w:rPr>
      <w:rFonts w:ascii="Arial" w:hAnsi="Arial"/>
      <w:sz w:val="20"/>
      <w:szCs w:val="20"/>
    </w:rPr>
  </w:style>
  <w:style w:type="paragraph" w:styleId="CommentSubject">
    <w:name w:val="annotation subject"/>
    <w:basedOn w:val="CommentText"/>
    <w:next w:val="CommentText"/>
    <w:link w:val="CommentSubjectChar"/>
    <w:uiPriority w:val="99"/>
    <w:unhideWhenUsed/>
    <w:rsid w:val="009314B6"/>
    <w:rPr>
      <w:b/>
      <w:bCs/>
    </w:rPr>
  </w:style>
  <w:style w:type="character" w:customStyle="1" w:styleId="CommentSubjectChar">
    <w:name w:val="Comment Subject Char"/>
    <w:basedOn w:val="CommentTextChar"/>
    <w:link w:val="CommentSubject"/>
    <w:uiPriority w:val="99"/>
    <w:rsid w:val="009314B6"/>
    <w:rPr>
      <w:rFonts w:ascii="Arial" w:hAnsi="Arial"/>
      <w:b/>
      <w:bCs/>
      <w:sz w:val="20"/>
      <w:szCs w:val="20"/>
    </w:rPr>
  </w:style>
  <w:style w:type="paragraph" w:customStyle="1" w:styleId="HighlightBullet">
    <w:name w:val="Highlight Bullet"/>
    <w:basedOn w:val="Bullet1"/>
    <w:uiPriority w:val="6"/>
    <w:rsid w:val="009E0D43"/>
    <w:pPr>
      <w:numPr>
        <w:numId w:val="21"/>
      </w:numPr>
      <w:pBdr>
        <w:top w:val="single" w:sz="4" w:space="11" w:color="C5DFAB"/>
        <w:left w:val="single" w:sz="4" w:space="11" w:color="C5DFAB"/>
        <w:bottom w:val="single" w:sz="4" w:space="11" w:color="C5DFAB"/>
        <w:right w:val="single" w:sz="4" w:space="11" w:color="C5DFAB"/>
      </w:pBdr>
      <w:shd w:val="clear" w:color="auto" w:fill="C5DFAB"/>
      <w:ind w:right="227"/>
    </w:pPr>
  </w:style>
  <w:style w:type="paragraph" w:customStyle="1" w:styleId="TableHeadBlack">
    <w:name w:val="Table HeadBlack"/>
    <w:basedOn w:val="Normal"/>
    <w:uiPriority w:val="25"/>
    <w:rsid w:val="00513DE6"/>
    <w:pPr>
      <w:spacing w:before="80" w:line="240" w:lineRule="auto"/>
      <w:ind w:left="113" w:right="113"/>
    </w:pPr>
    <w:rPr>
      <w:sz w:val="16"/>
    </w:rPr>
  </w:style>
  <w:style w:type="character" w:customStyle="1" w:styleId="UnresolvedMention1">
    <w:name w:val="Unresolved Mention1"/>
    <w:basedOn w:val="DefaultParagraphFont"/>
    <w:uiPriority w:val="99"/>
    <w:semiHidden/>
    <w:unhideWhenUsed/>
    <w:rsid w:val="00462982"/>
    <w:rPr>
      <w:color w:val="605E5C"/>
      <w:shd w:val="clear" w:color="auto" w:fill="E1DFDD"/>
    </w:rPr>
  </w:style>
  <w:style w:type="character" w:styleId="CommentReference">
    <w:name w:val="annotation reference"/>
    <w:basedOn w:val="DefaultParagraphFont"/>
    <w:uiPriority w:val="99"/>
    <w:semiHidden/>
    <w:unhideWhenUsed/>
    <w:rsid w:val="00C7462E"/>
    <w:rPr>
      <w:sz w:val="16"/>
      <w:szCs w:val="16"/>
    </w:rPr>
  </w:style>
  <w:style w:type="paragraph" w:styleId="ListParagraph">
    <w:name w:val="List Paragraph"/>
    <w:basedOn w:val="Normal"/>
    <w:uiPriority w:val="34"/>
    <w:qFormat/>
    <w:rsid w:val="004B617F"/>
    <w:pPr>
      <w:ind w:left="720"/>
      <w:contextualSpacing/>
    </w:pPr>
  </w:style>
  <w:style w:type="paragraph" w:styleId="Revision">
    <w:name w:val="Revision"/>
    <w:hidden/>
    <w:uiPriority w:val="99"/>
    <w:semiHidden/>
    <w:rsid w:val="00C4495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98089">
      <w:bodyDiv w:val="1"/>
      <w:marLeft w:val="0"/>
      <w:marRight w:val="0"/>
      <w:marTop w:val="0"/>
      <w:marBottom w:val="0"/>
      <w:divBdr>
        <w:top w:val="none" w:sz="0" w:space="0" w:color="auto"/>
        <w:left w:val="none" w:sz="0" w:space="0" w:color="auto"/>
        <w:bottom w:val="none" w:sz="0" w:space="0" w:color="auto"/>
        <w:right w:val="none" w:sz="0" w:space="0" w:color="auto"/>
      </w:divBdr>
    </w:div>
    <w:div w:id="1175607731">
      <w:bodyDiv w:val="1"/>
      <w:marLeft w:val="0"/>
      <w:marRight w:val="0"/>
      <w:marTop w:val="0"/>
      <w:marBottom w:val="0"/>
      <w:divBdr>
        <w:top w:val="none" w:sz="0" w:space="0" w:color="auto"/>
        <w:left w:val="none" w:sz="0" w:space="0" w:color="auto"/>
        <w:bottom w:val="none" w:sz="0" w:space="0" w:color="auto"/>
        <w:right w:val="none" w:sz="0" w:space="0" w:color="auto"/>
      </w:divBdr>
    </w:div>
    <w:div w:id="14773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adionetworkprotection@bt.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energynetworks.co.uk/pages/scoop_hill.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2019%20LUC%20Templates\Templates\LUC%20Blank.dotm" TargetMode="External"/></Relationships>
</file>

<file path=word/theme/theme1.xml><?xml version="1.0" encoding="utf-8"?>
<a:theme xmlns:a="http://schemas.openxmlformats.org/drawingml/2006/main" name="Office Theme">
  <a:themeElements>
    <a:clrScheme name="LUC">
      <a:dk1>
        <a:sysClr val="windowText" lastClr="000000"/>
      </a:dk1>
      <a:lt1>
        <a:sysClr val="window" lastClr="FFFFFF"/>
      </a:lt1>
      <a:dk2>
        <a:srgbClr val="878787"/>
      </a:dk2>
      <a:lt2>
        <a:srgbClr val="E7E6E6"/>
      </a:lt2>
      <a:accent1>
        <a:srgbClr val="6EB02D"/>
      </a:accent1>
      <a:accent2>
        <a:srgbClr val="F2BB0B"/>
      </a:accent2>
      <a:accent3>
        <a:srgbClr val="D96C0F"/>
      </a:accent3>
      <a:accent4>
        <a:srgbClr val="9B094E"/>
      </a:accent4>
      <a:accent5>
        <a:srgbClr val="432F84"/>
      </a:accent5>
      <a:accent6>
        <a:srgbClr val="007C9E"/>
      </a:accent6>
      <a:hlink>
        <a:srgbClr val="006069"/>
      </a:hlink>
      <a:folHlink>
        <a:srgbClr val="025300"/>
      </a:folHlink>
    </a:clrScheme>
    <a:fontScheme name="LU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omments xmlns="0e494a92-64bf-44e0-91e3-0e3dc887b6a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41D216AAAD9EF4B8D660A30359DD248" ma:contentTypeVersion="13" ma:contentTypeDescription="Create a new document." ma:contentTypeScope="" ma:versionID="e1231f6fff4d8613a54916cc0aa9c8cd">
  <xsd:schema xmlns:xsd="http://www.w3.org/2001/XMLSchema" xmlns:xs="http://www.w3.org/2001/XMLSchema" xmlns:p="http://schemas.microsoft.com/office/2006/metadata/properties" xmlns:ns2="0e494a92-64bf-44e0-91e3-0e3dc887b6a7" xmlns:ns3="2508e0eb-56e6-4777-837e-37815c037d78" targetNamespace="http://schemas.microsoft.com/office/2006/metadata/properties" ma:root="true" ma:fieldsID="d40b52cf798ccfcd9fe1a7999a98b3eb" ns2:_="" ns3:_="">
    <xsd:import namespace="0e494a92-64bf-44e0-91e3-0e3dc887b6a7"/>
    <xsd:import namespace="2508e0eb-56e6-4777-837e-37815c037d7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Comments"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494a92-64bf-44e0-91e3-0e3dc887b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mments" ma:index="12" nillable="true" ma:displayName="Comments" ma:format="Dropdown" ma:internalName="Comments">
      <xsd:simpleType>
        <xsd:restriction base="dms:Text">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08e0eb-56e6-4777-837e-37815c037d7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p r o p e r t i e s   x m l n s = " h t t p : / / w w w . i m a n a g e . c o m / w o r k / x m l s c h e m a " >  
     < d o c u m e n t i d > L e g a l D i v ! 7 7 1 5 0 6 5 4 . 2 < / d o c u m e n t i d >  
     < s e n d e r i d > M O T H O M S O < / s e n d e r i d >  
     < s e n d e r e m a i l > M O R A Y . T H O M S O N @ S H E P W E D D . C O . U K < / s e n d e r e m a i l >  
     < l a s t m o d i f i e d > 2 0 2 2 - 0 5 - 0 4 T 1 6 : 0 3 : 0 0 . 0 0 0 0 0 0 0 + 0 1 : 0 0 < / l a s t m o d i f i e d >  
     < d a t a b a s e > L e g a l D i v < / d a t a b a s e >  
 < / 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9C9917-A57B-4E7C-99CF-8DB9AE5555B5}">
  <ds:schemaRefs>
    <ds:schemaRef ds:uri="http://schemas.openxmlformats.org/officeDocument/2006/bibliography"/>
  </ds:schemaRefs>
</ds:datastoreItem>
</file>

<file path=customXml/itemProps2.xml><?xml version="1.0" encoding="utf-8"?>
<ds:datastoreItem xmlns:ds="http://schemas.openxmlformats.org/officeDocument/2006/customXml" ds:itemID="{247105A5-A158-429D-82FD-038F594AB9F6}">
  <ds:schemaRefs>
    <ds:schemaRef ds:uri="99dedf78-28eb-4556-995f-3f76d579830c"/>
    <ds:schemaRef ds:uri="6c55f78b-a66f-413f-b73a-2559cf9bba90"/>
    <ds:schemaRef ds:uri="http://schemas.microsoft.com/office/2006/metadata/properties"/>
    <ds:schemaRef ds:uri="http://schemas.microsoft.com/office/2006/documentManagement/types"/>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purl.org/dc/elements/1.1/"/>
    <ds:schemaRef ds:uri="0e494a92-64bf-44e0-91e3-0e3dc887b6a7"/>
  </ds:schemaRefs>
</ds:datastoreItem>
</file>

<file path=customXml/itemProps3.xml><?xml version="1.0" encoding="utf-8"?>
<ds:datastoreItem xmlns:ds="http://schemas.openxmlformats.org/officeDocument/2006/customXml" ds:itemID="{E7A5E0BE-3EA8-49A9-82C3-C8A223292B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494a92-64bf-44e0-91e3-0e3dc887b6a7"/>
    <ds:schemaRef ds:uri="2508e0eb-56e6-4777-837e-37815c037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A72EC1-E8D9-4ABD-8D3C-D05E21B37755}">
  <ds:schemaRefs>
    <ds:schemaRef ds:uri="http://www.imanage.com/work/xmlschema"/>
  </ds:schemaRefs>
</ds:datastoreItem>
</file>

<file path=customXml/itemProps5.xml><?xml version="1.0" encoding="utf-8"?>
<ds:datastoreItem xmlns:ds="http://schemas.openxmlformats.org/officeDocument/2006/customXml" ds:itemID="{329F5776-D710-4EAD-BF05-9B77A73518A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LUC Blank</Template>
  <TotalTime>1</TotalTime>
  <Pages>7</Pages>
  <Words>3300</Words>
  <Characters>18816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Leanne Meldrum</dc:creator>
  <cp:keywords/>
  <dc:description/>
  <cp:lastModifiedBy>GRAHAM, ALAN</cp:lastModifiedBy>
  <cp:revision>2</cp:revision>
  <cp:lastPrinted>2018-12-04T12:22:00Z</cp:lastPrinted>
  <dcterms:created xsi:type="dcterms:W3CDTF">2022-06-23T14:17:00Z</dcterms:created>
  <dcterms:modified xsi:type="dcterms:W3CDTF">2022-06-23T14:17:00Z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0x010100241D216AAAD9EF4B8D660A30359DD248</vt:lpwstr>
  </property>
  <property fmtid="{D5CDD505-2E9C-101B-9397-08002B2CF9AE}" pid="3" name="iManageFooter">
    <vt:lpwstr>#77150654v1&lt;LEGALDIV&gt; - 11086_ScoopHill_Summary of Pre-App Consultation Report_Append...docx</vt:lpwstr>
  </property>
  <property fmtid="{D5CDD505-2E9C-101B-9397-08002B2CF9AE}" pid="4" name="MSIP_Label_019c027e-33b7-45fc-a572-8ffa5d09ec36_Enabled">
    <vt:lpwstr>true</vt:lpwstr>
  </property>
  <property fmtid="{D5CDD505-2E9C-101B-9397-08002B2CF9AE}" pid="5" name="MSIP_Label_019c027e-33b7-45fc-a572-8ffa5d09ec36_SetDate">
    <vt:lpwstr>2022-06-23T14:17:05Z</vt:lpwstr>
  </property>
  <property fmtid="{D5CDD505-2E9C-101B-9397-08002B2CF9AE}" pid="6" name="MSIP_Label_019c027e-33b7-45fc-a572-8ffa5d09ec36_Method">
    <vt:lpwstr>Standard</vt:lpwstr>
  </property>
  <property fmtid="{D5CDD505-2E9C-101B-9397-08002B2CF9AE}" pid="7" name="MSIP_Label_019c027e-33b7-45fc-a572-8ffa5d09ec36_Name">
    <vt:lpwstr>Internal Use</vt:lpwstr>
  </property>
  <property fmtid="{D5CDD505-2E9C-101B-9397-08002B2CF9AE}" pid="8" name="MSIP_Label_019c027e-33b7-45fc-a572-8ffa5d09ec36_SiteId">
    <vt:lpwstr>031a09bc-a2bf-44df-888e-4e09355b7a24</vt:lpwstr>
  </property>
  <property fmtid="{D5CDD505-2E9C-101B-9397-08002B2CF9AE}" pid="9" name="MSIP_Label_019c027e-33b7-45fc-a572-8ffa5d09ec36_ActionId">
    <vt:lpwstr>4c97c4ca-f619-4c1b-ad70-8d8301176588</vt:lpwstr>
  </property>
  <property fmtid="{D5CDD505-2E9C-101B-9397-08002B2CF9AE}" pid="10" name="MSIP_Label_019c027e-33b7-45fc-a572-8ffa5d09ec36_ContentBits">
    <vt:lpwstr>2</vt:lpwstr>
  </property>
</Properties>
</file>