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6B945AE4"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proofErr w:type="spellStart"/>
      <w:r w:rsidR="002F7D73">
        <w:rPr>
          <w:rFonts w:ascii="IberPangea" w:hAnsi="IberPangea" w:cs="IberPangea"/>
          <w:b/>
          <w:bCs/>
        </w:rPr>
        <w:t>Chirmorie</w:t>
      </w:r>
      <w:proofErr w:type="spellEnd"/>
      <w:r w:rsidR="002F7D73">
        <w:rPr>
          <w:rFonts w:ascii="IberPangea" w:hAnsi="IberPangea" w:cs="IberPangea"/>
          <w:b/>
          <w:bCs/>
        </w:rPr>
        <w:t xml:space="preserve"> Overhead Line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7695900D"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439185F0" w14:textId="77777777" w:rsidR="00BD7377" w:rsidRDefault="00BD7377" w:rsidP="003A135E">
      <w:pPr>
        <w:rPr>
          <w:rFonts w:ascii="IberPangea" w:hAnsi="IberPangea" w:cs="IberPangea"/>
          <w:i/>
          <w:iCs/>
        </w:rPr>
      </w:pPr>
    </w:p>
    <w:p w14:paraId="6B8088F6" w14:textId="77777777" w:rsidR="00BD7377" w:rsidRDefault="00BD7377" w:rsidP="00BD7377">
      <w:pPr>
        <w:rPr>
          <w:rFonts w:ascii="IberPangea" w:hAnsi="IberPangea" w:cs="IberPangea"/>
          <w:b/>
          <w:bCs/>
        </w:rPr>
      </w:pPr>
      <w:r>
        <w:rPr>
          <w:rFonts w:ascii="IberPangea" w:hAnsi="IberPangea" w:cs="IberPangea"/>
          <w:b/>
          <w:bCs/>
        </w:rPr>
        <w:t>Completed applications should be sent to:</w:t>
      </w:r>
    </w:p>
    <w:p w14:paraId="3D134246" w14:textId="77777777" w:rsidR="00BD7377" w:rsidRPr="00AA60BE" w:rsidRDefault="00BD7377" w:rsidP="00BD7377">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7281755E" w14:textId="77777777" w:rsidR="00BD7377" w:rsidRPr="00407174" w:rsidRDefault="00BD7377" w:rsidP="003A135E">
      <w:pPr>
        <w:rPr>
          <w:rFonts w:ascii="IberPangea" w:hAnsi="IberPangea" w:cs="IberPangea"/>
          <w:i/>
          <w:iCs/>
        </w:rPr>
      </w:pP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33C4" w14:textId="77777777" w:rsidR="004630A9" w:rsidRDefault="004630A9" w:rsidP="004F57DC">
      <w:pPr>
        <w:spacing w:after="0" w:line="240" w:lineRule="auto"/>
      </w:pPr>
      <w:r>
        <w:separator/>
      </w:r>
    </w:p>
  </w:endnote>
  <w:endnote w:type="continuationSeparator" w:id="0">
    <w:p w14:paraId="59C55BE1" w14:textId="77777777" w:rsidR="004630A9" w:rsidRDefault="004630A9" w:rsidP="004F57DC">
      <w:pPr>
        <w:spacing w:after="0" w:line="240" w:lineRule="auto"/>
      </w:pPr>
      <w:r>
        <w:continuationSeparator/>
      </w:r>
    </w:p>
  </w:endnote>
  <w:endnote w:type="continuationNotice" w:id="1">
    <w:p w14:paraId="7A1E9AC7" w14:textId="77777777" w:rsidR="004630A9" w:rsidRDefault="00463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C48B" w14:textId="77777777" w:rsidR="004630A9" w:rsidRDefault="004630A9" w:rsidP="004F57DC">
      <w:pPr>
        <w:spacing w:after="0" w:line="240" w:lineRule="auto"/>
      </w:pPr>
      <w:r>
        <w:separator/>
      </w:r>
    </w:p>
  </w:footnote>
  <w:footnote w:type="continuationSeparator" w:id="0">
    <w:p w14:paraId="2D23185F" w14:textId="77777777" w:rsidR="004630A9" w:rsidRDefault="004630A9" w:rsidP="004F57DC">
      <w:pPr>
        <w:spacing w:after="0" w:line="240" w:lineRule="auto"/>
      </w:pPr>
      <w:r>
        <w:continuationSeparator/>
      </w:r>
    </w:p>
  </w:footnote>
  <w:footnote w:type="continuationNotice" w:id="1">
    <w:p w14:paraId="3A80E41C" w14:textId="77777777" w:rsidR="004630A9" w:rsidRDefault="00463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E1234"/>
    <w:rsid w:val="001E73C2"/>
    <w:rsid w:val="001F0D97"/>
    <w:rsid w:val="001F3110"/>
    <w:rsid w:val="001F375D"/>
    <w:rsid w:val="001F7DFB"/>
    <w:rsid w:val="0020608A"/>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7B60"/>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630A9"/>
    <w:rsid w:val="0047018B"/>
    <w:rsid w:val="00470A70"/>
    <w:rsid w:val="004762D1"/>
    <w:rsid w:val="004766E7"/>
    <w:rsid w:val="004928B1"/>
    <w:rsid w:val="00493D1B"/>
    <w:rsid w:val="004956CB"/>
    <w:rsid w:val="004A1B1D"/>
    <w:rsid w:val="004A79D5"/>
    <w:rsid w:val="004A7F39"/>
    <w:rsid w:val="004B23BF"/>
    <w:rsid w:val="004B3AC4"/>
    <w:rsid w:val="004B729B"/>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41E1"/>
    <w:rsid w:val="0057623B"/>
    <w:rsid w:val="00584191"/>
    <w:rsid w:val="005852E5"/>
    <w:rsid w:val="00586398"/>
    <w:rsid w:val="005929A6"/>
    <w:rsid w:val="005A53BB"/>
    <w:rsid w:val="005B1E0C"/>
    <w:rsid w:val="005C00C7"/>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91E0A"/>
    <w:rsid w:val="0069634B"/>
    <w:rsid w:val="006969B1"/>
    <w:rsid w:val="006A0E0D"/>
    <w:rsid w:val="006A0F9B"/>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2B4A"/>
    <w:rsid w:val="007B5E86"/>
    <w:rsid w:val="007B7CA6"/>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90C22"/>
    <w:rsid w:val="0089331A"/>
    <w:rsid w:val="008956CD"/>
    <w:rsid w:val="008A08D1"/>
    <w:rsid w:val="008A14B2"/>
    <w:rsid w:val="008A7792"/>
    <w:rsid w:val="008B2431"/>
    <w:rsid w:val="008B5185"/>
    <w:rsid w:val="008B5AB9"/>
    <w:rsid w:val="008B6ED6"/>
    <w:rsid w:val="008C44D2"/>
    <w:rsid w:val="008D2543"/>
    <w:rsid w:val="008D62D9"/>
    <w:rsid w:val="008D7B64"/>
    <w:rsid w:val="008E1C8B"/>
    <w:rsid w:val="008F1EB1"/>
    <w:rsid w:val="008F66E6"/>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21E2F"/>
    <w:rsid w:val="00A23650"/>
    <w:rsid w:val="00A24078"/>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49CC"/>
    <w:rsid w:val="00B85069"/>
    <w:rsid w:val="00B9119E"/>
    <w:rsid w:val="00B9420F"/>
    <w:rsid w:val="00B975DC"/>
    <w:rsid w:val="00BA5DB5"/>
    <w:rsid w:val="00BB249F"/>
    <w:rsid w:val="00BB2CDB"/>
    <w:rsid w:val="00BC0D21"/>
    <w:rsid w:val="00BC19FE"/>
    <w:rsid w:val="00BC2DF4"/>
    <w:rsid w:val="00BC7FBA"/>
    <w:rsid w:val="00BD6117"/>
    <w:rsid w:val="00BD737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321FCA"/>
    <w:rsid w:val="003700B6"/>
    <w:rsid w:val="003D1E47"/>
    <w:rsid w:val="004956CB"/>
    <w:rsid w:val="006333B5"/>
    <w:rsid w:val="006A0F9B"/>
    <w:rsid w:val="006D5685"/>
    <w:rsid w:val="00792B71"/>
    <w:rsid w:val="007A61DA"/>
    <w:rsid w:val="0088456E"/>
    <w:rsid w:val="009F28BC"/>
    <w:rsid w:val="009F798A"/>
    <w:rsid w:val="00AB44FC"/>
    <w:rsid w:val="00CB7D73"/>
    <w:rsid w:val="00DF0A65"/>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Props1.xml><?xml version="1.0" encoding="utf-8"?>
<ds:datastoreItem xmlns:ds="http://schemas.openxmlformats.org/officeDocument/2006/customXml" ds:itemID="{BB199E8F-1F09-4A4A-8C3D-33E236CE8D62}">
  <ds:schemaRefs>
    <ds:schemaRef ds:uri="http://schemas.microsoft.com/sharepoint/v3/contenttype/forms"/>
  </ds:schemaRefs>
</ds:datastoreItem>
</file>

<file path=customXml/itemProps2.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4</cp:revision>
  <dcterms:created xsi:type="dcterms:W3CDTF">2026-01-16T11:54:00Z</dcterms:created>
  <dcterms:modified xsi:type="dcterms:W3CDTF">2026-01-22T13:41:00Z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