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11"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12"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3" w:tgtFrame="_blank" w:history="1">
        <w:r w:rsidRPr="00C45A3D">
          <w:rPr>
            <w:rFonts w:ascii="IberPangea" w:hAnsi="IberPangea" w:cs="IberPangea"/>
            <w:sz w:val="22"/>
            <w:szCs w:val="22"/>
          </w:rPr>
          <w:t xml:space="preserve">Community Transport </w:t>
        </w:r>
      </w:hyperlink>
      <w:hyperlink r:id="rId14" w:tgtFrame="_blank" w:history="1">
        <w:r w:rsidRPr="00C45A3D">
          <w:rPr>
            <w:rFonts w:ascii="IberPangea" w:hAnsi="IberPangea" w:cs="IberPangea"/>
            <w:sz w:val="22"/>
            <w:szCs w:val="22"/>
          </w:rPr>
          <w:t>Organisation</w:t>
        </w:r>
      </w:hyperlink>
      <w:hyperlink r:id="rId15"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diligence requirements</w:t>
      </w:r>
    </w:p>
    <w:p w14:paraId="4B7AF47D" w14:textId="1C0BD19B" w:rsidR="003316F1" w:rsidRPr="00C45A3D"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lastRenderedPageBreak/>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lastRenderedPageBreak/>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that you’d like to install energy efficient 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06BD47D3"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6">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7">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8">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9"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20"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21"/>
      <w:headerReference w:type="default" r:id="rId22"/>
      <w:footerReference w:type="default" r:id="rId23"/>
      <w:headerReference w:type="first" r:id="rId24"/>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34DF0" w14:textId="77777777" w:rsidR="00AE479F" w:rsidRDefault="00AE479F" w:rsidP="00251027">
      <w:pPr>
        <w:spacing w:after="0" w:line="240" w:lineRule="auto"/>
      </w:pPr>
      <w:r>
        <w:separator/>
      </w:r>
    </w:p>
  </w:endnote>
  <w:endnote w:type="continuationSeparator" w:id="0">
    <w:p w14:paraId="609FB96F" w14:textId="77777777" w:rsidR="00AE479F" w:rsidRDefault="00AE479F" w:rsidP="00251027">
      <w:pPr>
        <w:spacing w:after="0" w:line="240" w:lineRule="auto"/>
      </w:pPr>
      <w:r>
        <w:continuationSeparator/>
      </w:r>
    </w:p>
  </w:endnote>
  <w:endnote w:type="continuationNotice" w:id="1">
    <w:p w14:paraId="24CF8E33" w14:textId="77777777" w:rsidR="00AE479F" w:rsidRDefault="00AE47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altName w:val="Calibri"/>
    <w:charset w:val="00"/>
    <w:family w:val="swiss"/>
    <w:pitch w:val="variable"/>
    <w:sig w:usb0="A10002FF" w:usb1="5201E0FB" w:usb2="00000008" w:usb3="00000000" w:csb0="0000019F" w:csb1="00000000"/>
  </w:font>
  <w:font w:name="IberPangea">
    <w:altName w:val="Calibri"/>
    <w:charset w:val="00"/>
    <w:family w:val="swiss"/>
    <w:pitch w:val="variable"/>
    <w:sig w:usb0="A10002FF" w:usb1="5201E0FB" w:usb2="00000008" w:usb3="00000000" w:csb0="0000019F" w:csb1="00000000"/>
  </w:font>
  <w:font w:name="IberPangea Text">
    <w:altName w:val="Calibri"/>
    <w:charset w:val="00"/>
    <w:family w:val="swiss"/>
    <w:pitch w:val="variable"/>
    <w:sig w:usb0="A10002FF" w:usb1="5201E0FB" w:usb2="0000000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5F98" w14:textId="77777777" w:rsidR="00AE479F" w:rsidRDefault="00AE479F" w:rsidP="00251027">
      <w:pPr>
        <w:spacing w:after="0" w:line="240" w:lineRule="auto"/>
      </w:pPr>
      <w:r>
        <w:separator/>
      </w:r>
    </w:p>
  </w:footnote>
  <w:footnote w:type="continuationSeparator" w:id="0">
    <w:p w14:paraId="72D92627" w14:textId="77777777" w:rsidR="00AE479F" w:rsidRDefault="00AE479F" w:rsidP="00251027">
      <w:pPr>
        <w:spacing w:after="0" w:line="240" w:lineRule="auto"/>
      </w:pPr>
      <w:r>
        <w:continuationSeparator/>
      </w:r>
    </w:p>
  </w:footnote>
  <w:footnote w:type="continuationNotice" w:id="1">
    <w:p w14:paraId="13B5E617" w14:textId="77777777" w:rsidR="00AE479F" w:rsidRDefault="00AE47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73AD"/>
    <w:rsid w:val="009E1C94"/>
    <w:rsid w:val="009E2ECF"/>
    <w:rsid w:val="009E55B2"/>
    <w:rsid w:val="009E71CA"/>
    <w:rsid w:val="009F2BD6"/>
    <w:rsid w:val="009F40E1"/>
    <w:rsid w:val="009F78B6"/>
    <w:rsid w:val="00A04BEB"/>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E479F"/>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473"/>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290"/>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15:docId w15:val="{C0B4F044-2F7B-4590-B4AE-13F24989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auk.org/" TargetMode="External"/><Relationship Id="rId18" Type="http://schemas.openxmlformats.org/officeDocument/2006/relationships/hyperlink" Target="https://www.spenergynetworks.co.uk/userfiles/file/Local_Fund_Sample_Application_Form.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cms.spenergynetworks.co.uk/pages/community_benefits_funding.aspx" TargetMode="External"/><Relationship Id="rId17" Type="http://schemas.openxmlformats.org/officeDocument/2006/relationships/hyperlink" Target="mailto:cb_localfund@spenergynetwork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penergynetworks.co.uk/userfiles/file/EOI_template_Mark_Hill_Substation_Fund.docx" TargetMode="External"/><Relationship Id="rId20" Type="http://schemas.openxmlformats.org/officeDocument/2006/relationships/hyperlink" Target="https://www.communitycouncils.scot/community-council-fin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lectricity-transmission-network-infrastructure-community-funds/community-funds-for-transmission-infrastructure-accessible-web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ctauk.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PENlocalfunds@e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tauk.or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d6c94c-05db-41e5-8395-fcbe0ec1ed9b">
      <Terms xmlns="http://schemas.microsoft.com/office/infopath/2007/PartnerControls"/>
    </lcf76f155ced4ddcb4097134ff3c332f>
    <TaxCatchAll xmlns="cfc47926-d478-4105-8253-88e0cb1a9e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F562F26D53D4FA3305ABD9D905886" ma:contentTypeVersion="15" ma:contentTypeDescription="Create a new document." ma:contentTypeScope="" ma:versionID="7cdb520f1706c38aec2b2762772368fd">
  <xsd:schema xmlns:xsd="http://www.w3.org/2001/XMLSchema" xmlns:xs="http://www.w3.org/2001/XMLSchema" xmlns:p="http://schemas.microsoft.com/office/2006/metadata/properties" xmlns:ns2="2bd6c94c-05db-41e5-8395-fcbe0ec1ed9b" xmlns:ns3="cfc47926-d478-4105-8253-88e0cb1a9ef3" targetNamespace="http://schemas.microsoft.com/office/2006/metadata/properties" ma:root="true" ma:fieldsID="1b6f4e7e498ce9671dee09a1a5cab07e" ns2:_="" ns3:_="">
    <xsd:import namespace="2bd6c94c-05db-41e5-8395-fcbe0ec1ed9b"/>
    <xsd:import namespace="cfc47926-d478-4105-8253-88e0cb1a9ef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6c94c-05db-41e5-8395-fcbe0ec1e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47926-d478-4105-8253-88e0cb1a9ef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3c4d5ba-13ee-4db2-a4b7-6da232f93a96}" ma:internalName="TaxCatchAll" ma:showField="CatchAllData" ma:web="cfc47926-d478-4105-8253-88e0cb1a9ef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A219D2-3342-4357-BCCD-C82A3F037C1E}">
  <ds:schemaRefs>
    <ds:schemaRef ds:uri="http://schemas.microsoft.com/office/2006/metadata/properties"/>
    <ds:schemaRef ds:uri="http://schemas.microsoft.com/office/infopath/2007/PartnerControls"/>
    <ds:schemaRef ds:uri="2bd6c94c-05db-41e5-8395-fcbe0ec1ed9b"/>
    <ds:schemaRef ds:uri="cfc47926-d478-4105-8253-88e0cb1a9ef3"/>
  </ds:schemaRefs>
</ds:datastoreItem>
</file>

<file path=customXml/itemProps2.xml><?xml version="1.0" encoding="utf-8"?>
<ds:datastoreItem xmlns:ds="http://schemas.openxmlformats.org/officeDocument/2006/customXml" ds:itemID="{4AE26EC7-E119-4D15-B6B6-5ED117E82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6c94c-05db-41e5-8395-fcbe0ec1ed9b"/>
    <ds:schemaRef ds:uri="cfc47926-d478-4105-8253-88e0cb1a9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customXml/itemProps4.xml><?xml version="1.0" encoding="utf-8"?>
<ds:datastoreItem xmlns:ds="http://schemas.openxmlformats.org/officeDocument/2006/customXml" ds:itemID="{B28164AB-82F9-4B27-A472-A0932461EDC8}">
  <ds:schemaRefs>
    <ds:schemaRef ds:uri="http://schemas.microsoft.com/sharepoint/v3/contenttype/forms"/>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2262</Words>
  <Characters>12897</Characters>
  <Application>Microsoft Office Word</Application>
  <DocSecurity>0</DocSecurity>
  <Lines>107</Lines>
  <Paragraphs>30</Paragraphs>
  <ScaleCrop>false</ScaleCrop>
  <Company>Energy Savings Trust</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Boulton</dc:creator>
  <cp:keywords/>
  <dc:description/>
  <cp:lastModifiedBy>John Conlan</cp:lastModifiedBy>
  <cp:revision>398</cp:revision>
  <dcterms:created xsi:type="dcterms:W3CDTF">2025-11-18T16:35:00Z</dcterms:created>
  <dcterms:modified xsi:type="dcterms:W3CDTF">2026-01-19T15:06:00Z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40f4a75e,15cafa1f,62996063</vt:lpwstr>
  </property>
  <property fmtid="{D5CDD505-2E9C-101B-9397-08002B2CF9AE}" pid="3" name="ClassificationContentMarkingHeaderFontProps">
    <vt:lpwstr>#ff0000,10,Calibri</vt:lpwstr>
  </property>
  <property fmtid="{D5CDD505-2E9C-101B-9397-08002B2CF9AE}" pid="4" name="ClassificationContentMarkingHeaderText">
    <vt:lpwstr>Confidential</vt:lpwstr>
  </property>
  <property fmtid="{D5CDD505-2E9C-101B-9397-08002B2CF9AE}" pid="5" name="MSIP_Label_ac46059d-6ca0-4a6f-9275-8a418ca91520_Enabled">
    <vt:lpwstr>true</vt:lpwstr>
  </property>
  <property fmtid="{D5CDD505-2E9C-101B-9397-08002B2CF9AE}" pid="6" name="MSIP_Label_ac46059d-6ca0-4a6f-9275-8a418ca91520_SetDate">
    <vt:lpwstr>2025-10-29T13:27:20Z</vt:lpwstr>
  </property>
  <property fmtid="{D5CDD505-2E9C-101B-9397-08002B2CF9AE}" pid="7" name="MSIP_Label_ac46059d-6ca0-4a6f-9275-8a418ca91520_Method">
    <vt:lpwstr>Privileged</vt:lpwstr>
  </property>
  <property fmtid="{D5CDD505-2E9C-101B-9397-08002B2CF9AE}" pid="8" name="MSIP_Label_ac46059d-6ca0-4a6f-9275-8a418ca91520_Name">
    <vt:lpwstr>Confidental</vt:lpwstr>
  </property>
  <property fmtid="{D5CDD505-2E9C-101B-9397-08002B2CF9AE}" pid="9" name="MSIP_Label_ac46059d-6ca0-4a6f-9275-8a418ca91520_SiteId">
    <vt:lpwstr>3c384161-3b62-4d05-9486-5295b766e36c</vt:lpwstr>
  </property>
  <property fmtid="{D5CDD505-2E9C-101B-9397-08002B2CF9AE}" pid="10" name="MSIP_Label_ac46059d-6ca0-4a6f-9275-8a418ca91520_ActionId">
    <vt:lpwstr>fe6e83c0-c28b-4b18-8f2b-6e21e9aa4274</vt:lpwstr>
  </property>
  <property fmtid="{D5CDD505-2E9C-101B-9397-08002B2CF9AE}" pid="11" name="MSIP_Label_ac46059d-6ca0-4a6f-9275-8a418ca91520_ContentBits">
    <vt:lpwstr>1</vt:lpwstr>
  </property>
  <property fmtid="{D5CDD505-2E9C-101B-9397-08002B2CF9AE}" pid="12" name="MSIP_Label_ac46059d-6ca0-4a6f-9275-8a418ca91520_Tag">
    <vt:lpwstr>10, 0, 1, 1</vt:lpwstr>
  </property>
  <property fmtid="{D5CDD505-2E9C-101B-9397-08002B2CF9AE}" pid="13" name="ContentTypeId">
    <vt:lpwstr>0x010100373F562F26D53D4FA3305ABD9D905886</vt:lpwstr>
  </property>
  <property fmtid="{D5CDD505-2E9C-101B-9397-08002B2CF9AE}" pid="14" name="MediaServiceImageTags">
    <vt:lpwstr/>
  </property>
</Properties>
</file>